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E57E8">
        <w:rPr>
          <w:rFonts w:ascii="標楷體" w:eastAsia="標楷體" w:hAnsi="標楷體" w:hint="eastAsia"/>
          <w:b/>
          <w:sz w:val="28"/>
          <w:szCs w:val="28"/>
        </w:rPr>
        <w:t>2018/03/12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6664F6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過去二</w:t>
      </w:r>
      <w:proofErr w:type="gramStart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BE57E8">
        <w:rPr>
          <w:rFonts w:ascii="標楷體" w:eastAsia="標楷體" w:hAnsi="標楷體" w:cs="Arial" w:hint="eastAsia"/>
          <w:color w:val="000000"/>
          <w:kern w:val="0"/>
          <w:szCs w:val="24"/>
        </w:rPr>
        <w:t>在2.80%~2.90%區間整理，因國債密集發行期結束，買點浮現，以及川普</w:t>
      </w:r>
      <w:proofErr w:type="gramStart"/>
      <w:r w:rsidR="00BE57E8">
        <w:rPr>
          <w:rFonts w:ascii="標楷體" w:eastAsia="標楷體" w:hAnsi="標楷體" w:cs="Arial" w:hint="eastAsia"/>
          <w:color w:val="000000"/>
          <w:kern w:val="0"/>
          <w:szCs w:val="24"/>
        </w:rPr>
        <w:t>徵收鋼鋁關稅</w:t>
      </w:r>
      <w:proofErr w:type="gramEnd"/>
      <w:r w:rsidR="00BE57E8">
        <w:rPr>
          <w:rFonts w:ascii="標楷體" w:eastAsia="標楷體" w:hAnsi="標楷體" w:cs="Arial" w:hint="eastAsia"/>
          <w:color w:val="000000"/>
          <w:kern w:val="0"/>
          <w:szCs w:val="24"/>
        </w:rPr>
        <w:t>，對市場造成干擾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上周五美債10Y利率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BE57E8">
        <w:rPr>
          <w:rFonts w:ascii="標楷體" w:eastAsia="標楷體" w:hAnsi="標楷體" w:cs="Arial" w:hint="eastAsia"/>
          <w:color w:val="000000"/>
          <w:kern w:val="0"/>
          <w:szCs w:val="24"/>
        </w:rPr>
        <w:t>8938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受到籌碼集中影響，以及20年</w:t>
      </w:r>
      <w:proofErr w:type="gramStart"/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標售利率優於預期，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跌破1.0%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多方仍掌控市場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656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985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B541E1" w:rsidRPr="00FC1E12" w:rsidRDefault="007C5B58" w:rsidP="00FC1E12">
      <w:pPr>
        <w:widowControl/>
        <w:rPr>
          <w:rFonts w:ascii="標楷體" w:eastAsia="標楷體" w:hAnsi="標楷體"/>
          <w:szCs w:val="24"/>
        </w:rPr>
      </w:pPr>
      <w:r w:rsidRPr="007C5B58">
        <w:rPr>
          <w:rFonts w:ascii="標楷體" w:eastAsia="標楷體" w:hAnsi="標楷體" w:hint="eastAsia"/>
          <w:szCs w:val="24"/>
        </w:rPr>
        <w:t>美國2月非農就業人口新增31.3萬，遠高於預期的20.5萬，並創2016年7月來新高，但平均</w:t>
      </w:r>
      <w:proofErr w:type="gramStart"/>
      <w:r w:rsidRPr="007C5B58">
        <w:rPr>
          <w:rFonts w:ascii="標楷體" w:eastAsia="標楷體" w:hAnsi="標楷體" w:hint="eastAsia"/>
          <w:szCs w:val="24"/>
        </w:rPr>
        <w:t>時薪年增</w:t>
      </w:r>
      <w:proofErr w:type="gramEnd"/>
      <w:r w:rsidRPr="007C5B58">
        <w:rPr>
          <w:rFonts w:ascii="標楷體" w:eastAsia="標楷體" w:hAnsi="標楷體" w:hint="eastAsia"/>
          <w:szCs w:val="24"/>
        </w:rPr>
        <w:t>2.6%不如預期，舒緩了市場對通膨擔憂</w:t>
      </w:r>
      <w:r w:rsidR="00C95C60" w:rsidRPr="00C95C60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F36A6" w:rsidRDefault="00DF36A6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DD04DF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0050"/>
            <wp:effectExtent l="0" t="0" r="0" b="0"/>
            <wp:docPr id="1" name="圖片 1" descr="C:\Users\BLOOMB~1\AppData\Local\Temp\Bloomberg\temp\bfm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1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DD04DF" w:rsidRDefault="00DD04DF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9575"/>
            <wp:effectExtent l="0" t="0" r="0" b="0"/>
            <wp:docPr id="2" name="圖片 2" descr="C:\Users\BLOOMB~1\AppData\Local\Temp\Bloomberg\temp\bfm8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84D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67150"/>
            <wp:effectExtent l="0" t="0" r="0" b="0"/>
            <wp:docPr id="3" name="圖片 3" descr="C:\Users\BLOOMB~1\AppData\Local\Temp\Bloomberg\temp\bfmF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FB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24300"/>
            <wp:effectExtent l="0" t="0" r="0" b="0"/>
            <wp:docPr id="4" name="圖片 4" descr="C:\Users\BLOOMB~1\AppData\Local\Temp\Bloomberg\temp\bfmA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A6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D04DF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14775"/>
            <wp:effectExtent l="0" t="0" r="0" b="0"/>
            <wp:docPr id="5" name="圖片 5" descr="C:\Users\BLOOMB~1\AppData\Local\Temp\Bloomberg\temp\bfm9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906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D04DF">
        <w:rPr>
          <w:rFonts w:ascii="標楷體" w:eastAsia="標楷體" w:hAnsi="標楷體" w:hint="eastAsia"/>
          <w:b/>
          <w:sz w:val="26"/>
          <w:szCs w:val="26"/>
        </w:rPr>
        <w:t>台灣外銷訂單(年比)</w:t>
      </w:r>
    </w:p>
    <w:p w:rsidR="00A11F13" w:rsidRPr="00D93026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33825"/>
            <wp:effectExtent l="0" t="0" r="0" b="0"/>
            <wp:docPr id="6" name="圖片 6" descr="C:\Users\BLOOMB~1\AppData\Local\Temp\Bloomberg\temp\bfm7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7F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D04DF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DD04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816F1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7" name="圖片 7" descr="C:\Users\BLOOMB~1\AppData\Local\Temp\Bloomberg\temp\bfm3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309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D04DF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DD04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D04D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8" name="圖片 8" descr="C:\Users\BLOOMB~1\AppData\Local\Temp\Bloomberg\temp\bfm2A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2A1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71925"/>
            <wp:effectExtent l="0" t="0" r="0" b="0"/>
            <wp:docPr id="9" name="圖片 9" descr="C:\Users\BLOOMB~1\AppData\Local\Temp\Bloomberg\temp\bfm3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3D5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4F0CB9" w:rsidRDefault="00C62B8C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70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4.5pt;height:532.5pt" o:ole="">
            <v:imagedata r:id="rId18" o:title=""/>
          </v:shape>
          <o:OLEObject Type="Embed" ProgID="Excel.Sheet.12" ShapeID="_x0000_i1034" DrawAspect="Content" ObjectID="_1582356899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先看</w:t>
      </w:r>
      <w:r w:rsidR="001C7391">
        <w:rPr>
          <w:rFonts w:ascii="標楷體" w:eastAsia="標楷體" w:hAnsi="標楷體" w:cs="Arial" w:hint="eastAsia"/>
          <w:color w:val="000000"/>
          <w:kern w:val="0"/>
          <w:szCs w:val="24"/>
        </w:rPr>
        <w:t>2.80%~2.95%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短線上，受到川普</w:t>
      </w:r>
      <w:proofErr w:type="gramStart"/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徵收鋼鋁關稅</w:t>
      </w:r>
      <w:proofErr w:type="gramEnd"/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的干擾，利率再漲的空間有限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受到20年</w:t>
      </w:r>
      <w:proofErr w:type="gramStart"/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標售影響，利率下探，但由於與國際債市走勢乖離較大，交易商追價有限。預估在季線附近整理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美國</w:t>
      </w:r>
      <w:r w:rsidR="007C5B58">
        <w:rPr>
          <w:rFonts w:ascii="標楷體" w:eastAsia="標楷體" w:hAnsi="標楷體" w:cs="Arial" w:hint="eastAsia"/>
          <w:color w:val="000000"/>
          <w:kern w:val="0"/>
        </w:rPr>
        <w:t>2</w:t>
      </w:r>
      <w:r w:rsidR="00C95C60" w:rsidRPr="00C95C60">
        <w:rPr>
          <w:rFonts w:ascii="標楷體" w:eastAsia="標楷體" w:hAnsi="標楷體" w:cs="Arial" w:hint="eastAsia"/>
          <w:color w:val="000000"/>
          <w:kern w:val="0"/>
        </w:rPr>
        <w:t>月</w:t>
      </w:r>
      <w:r w:rsidR="007C5B58">
        <w:rPr>
          <w:rFonts w:ascii="標楷體" w:eastAsia="標楷體" w:hAnsi="標楷體" w:cs="Arial" w:hint="eastAsia"/>
          <w:color w:val="000000"/>
          <w:kern w:val="0"/>
        </w:rPr>
        <w:t>房屋開工率</w:t>
      </w:r>
      <w:r w:rsidR="004E0058">
        <w:rPr>
          <w:rFonts w:ascii="標楷體" w:eastAsia="標楷體" w:hAnsi="標楷體" w:cs="Arial" w:hint="eastAsia"/>
          <w:color w:val="000000"/>
          <w:kern w:val="0"/>
        </w:rPr>
        <w:t>、</w:t>
      </w:r>
      <w:r w:rsidR="007C5B58">
        <w:rPr>
          <w:rFonts w:ascii="標楷體" w:eastAsia="標楷體" w:hAnsi="標楷體" w:cs="Arial" w:hint="eastAsia"/>
          <w:color w:val="000000"/>
          <w:kern w:val="0"/>
        </w:rPr>
        <w:t>2</w:t>
      </w:r>
      <w:r w:rsidR="004E0058">
        <w:rPr>
          <w:rFonts w:ascii="標楷體" w:eastAsia="標楷體" w:hAnsi="標楷體" w:cs="Arial" w:hint="eastAsia"/>
          <w:color w:val="000000"/>
          <w:kern w:val="0"/>
        </w:rPr>
        <w:t>月</w:t>
      </w:r>
      <w:r w:rsidR="007C5B58">
        <w:rPr>
          <w:rFonts w:ascii="標楷體" w:eastAsia="標楷體" w:hAnsi="標楷體" w:cs="Arial" w:hint="eastAsia"/>
          <w:color w:val="000000"/>
          <w:kern w:val="0"/>
        </w:rPr>
        <w:t>CPI與PPI</w:t>
      </w:r>
      <w:r w:rsidR="004E0058">
        <w:rPr>
          <w:rFonts w:ascii="標楷體" w:eastAsia="標楷體" w:hAnsi="標楷體" w:cs="Arial" w:hint="eastAsia"/>
          <w:color w:val="000000"/>
          <w:kern w:val="0"/>
        </w:rPr>
        <w:t>、</w:t>
      </w:r>
      <w:r w:rsidR="00337DCD">
        <w:rPr>
          <w:rFonts w:ascii="標楷體" w:eastAsia="標楷體" w:hAnsi="標楷體" w:cs="Arial" w:hint="eastAsia"/>
          <w:color w:val="000000"/>
          <w:kern w:val="0"/>
        </w:rPr>
        <w:t>3</w:t>
      </w:r>
      <w:r w:rsidR="004E0058">
        <w:rPr>
          <w:rFonts w:ascii="標楷體" w:eastAsia="標楷體" w:hAnsi="標楷體" w:cs="Arial" w:hint="eastAsia"/>
          <w:color w:val="000000"/>
          <w:kern w:val="0"/>
        </w:rPr>
        <w:t>月</w:t>
      </w:r>
      <w:r w:rsidR="00337DCD">
        <w:rPr>
          <w:rFonts w:ascii="標楷體" w:eastAsia="標楷體" w:hAnsi="標楷體" w:cs="Arial" w:hint="eastAsia"/>
          <w:color w:val="000000"/>
          <w:kern w:val="0"/>
        </w:rPr>
        <w:t>密大消費信心初值等</w:t>
      </w:r>
      <w:r w:rsidR="004E0058">
        <w:rPr>
          <w:rFonts w:ascii="標楷體" w:eastAsia="標楷體" w:hAnsi="標楷體" w:cs="Arial" w:hint="eastAsia"/>
          <w:color w:val="000000"/>
          <w:kern w:val="0"/>
        </w:rPr>
        <w:t>。</w:t>
      </w:r>
      <w:r w:rsidR="00BA2731">
        <w:rPr>
          <w:rFonts w:ascii="標楷體" w:eastAsia="標楷體" w:hAnsi="標楷體" w:cs="Arial" w:hint="eastAsia"/>
          <w:color w:val="000000"/>
          <w:kern w:val="0"/>
        </w:rPr>
        <w:t>預計數據表現，對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BA2731">
        <w:rPr>
          <w:rFonts w:ascii="標楷體" w:eastAsia="標楷體" w:hAnsi="標楷體" w:cs="Arial" w:hint="eastAsia"/>
          <w:color w:val="000000"/>
          <w:kern w:val="0"/>
        </w:rPr>
        <w:t>而言</w:t>
      </w:r>
      <w:r w:rsidR="000B247B">
        <w:rPr>
          <w:rFonts w:ascii="標楷體" w:eastAsia="標楷體" w:hAnsi="標楷體" w:cs="Arial" w:hint="eastAsia"/>
          <w:color w:val="000000"/>
          <w:kern w:val="0"/>
        </w:rPr>
        <w:t>，</w:t>
      </w:r>
      <w:r w:rsidR="00337DCD">
        <w:rPr>
          <w:rFonts w:ascii="標楷體" w:eastAsia="標楷體" w:hAnsi="標楷體" w:cs="Arial" w:hint="eastAsia"/>
          <w:color w:val="000000"/>
          <w:kern w:val="0"/>
        </w:rPr>
        <w:t>影響不如非農就業報告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4E0058">
        <w:rPr>
          <w:rFonts w:ascii="標楷體" w:eastAsia="標楷體" w:hAnsi="標楷體" w:cs="Arial" w:hint="eastAsia"/>
          <w:color w:val="000000"/>
          <w:kern w:val="0"/>
        </w:rPr>
        <w:t>仍以</w:t>
      </w:r>
      <w:r w:rsidR="00C95C60">
        <w:rPr>
          <w:rFonts w:ascii="標楷體" w:eastAsia="標楷體" w:hAnsi="標楷體" w:cs="Arial" w:hint="eastAsia"/>
          <w:color w:val="000000"/>
          <w:kern w:val="0"/>
        </w:rPr>
        <w:t>籌碼面</w:t>
      </w:r>
      <w:r w:rsidR="004E0058">
        <w:rPr>
          <w:rFonts w:ascii="標楷體" w:eastAsia="標楷體" w:hAnsi="標楷體" w:cs="Arial" w:hint="eastAsia"/>
          <w:color w:val="000000"/>
          <w:kern w:val="0"/>
        </w:rPr>
        <w:t>為依歸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</w:t>
      </w:r>
      <w:r w:rsidR="00337DCD">
        <w:rPr>
          <w:rFonts w:ascii="標楷體" w:eastAsia="標楷體" w:hAnsi="標楷體" w:cs="Arial" w:hint="eastAsia"/>
          <w:color w:val="000000"/>
          <w:kern w:val="0"/>
        </w:rPr>
        <w:t>惟目前走勢與國際債市利率乖離，影響追價意願</w:t>
      </w:r>
      <w:r w:rsidR="004E0058">
        <w:rPr>
          <w:rFonts w:ascii="標楷體" w:eastAsia="標楷體" w:hAnsi="標楷體" w:cs="Arial" w:hint="eastAsia"/>
          <w:color w:val="000000"/>
          <w:kern w:val="0"/>
        </w:rPr>
        <w:t>。</w:t>
      </w:r>
      <w:r w:rsidR="00337DCD">
        <w:rPr>
          <w:rFonts w:ascii="標楷體" w:eastAsia="標楷體" w:hAnsi="標楷體" w:cs="Arial" w:hint="eastAsia"/>
          <w:color w:val="000000"/>
          <w:kern w:val="0"/>
        </w:rPr>
        <w:t>同樣的，因為缺乏上漲的因素，利率持續在低檔整理，操作上只宜調節，不建議放空。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337DCD">
        <w:rPr>
          <w:rFonts w:ascii="標楷體" w:eastAsia="標楷體" w:hAnsi="標楷體" w:cs="Arial" w:hint="eastAsia"/>
          <w:color w:val="000000"/>
          <w:kern w:val="0"/>
        </w:rPr>
        <w:t>0.9</w:t>
      </w:r>
      <w:r w:rsidR="00044D2D">
        <w:rPr>
          <w:rFonts w:ascii="標楷體" w:eastAsia="標楷體" w:hAnsi="標楷體" w:cs="Arial" w:hint="eastAsia"/>
          <w:color w:val="000000"/>
          <w:kern w:val="0"/>
        </w:rPr>
        <w:t>7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044D2D">
        <w:rPr>
          <w:rFonts w:ascii="標楷體" w:eastAsia="標楷體" w:hAnsi="標楷體" w:cs="Arial" w:hint="eastAsia"/>
          <w:color w:val="000000"/>
          <w:kern w:val="0"/>
        </w:rPr>
        <w:t>1.07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B8C" w:rsidRPr="00C62B8C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6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4D2D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534F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247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2BF9"/>
    <w:rsid w:val="001C435C"/>
    <w:rsid w:val="001C4DD1"/>
    <w:rsid w:val="001C5DFA"/>
    <w:rsid w:val="001C5FC6"/>
    <w:rsid w:val="001C68D3"/>
    <w:rsid w:val="001C7391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3BC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37DCD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47A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1B3D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0058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64F6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4E16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0E91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943"/>
    <w:rsid w:val="007C5B5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41E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67D93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57D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00CF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2E3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1E1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731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2D66"/>
    <w:rsid w:val="00BE31A0"/>
    <w:rsid w:val="00BE57E8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370DF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2B8C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95C60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4DF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36A6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0F3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B25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5C3B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07D1E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0BD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9B687-5037-4071-B7F7-D7278A7E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1880</TotalTime>
  <Pages>7</Pages>
  <Words>124</Words>
  <Characters>707</Characters>
  <Application>Microsoft Office Word</Application>
  <DocSecurity>0</DocSecurity>
  <Lines>5</Lines>
  <Paragraphs>1</Paragraphs>
  <ScaleCrop>false</ScaleCrop>
  <Company>大中票券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81</cp:revision>
  <cp:lastPrinted>2016-11-21T06:17:00Z</cp:lastPrinted>
  <dcterms:created xsi:type="dcterms:W3CDTF">2017-07-31T01:55:00Z</dcterms:created>
  <dcterms:modified xsi:type="dcterms:W3CDTF">2018-03-12T02:49:00Z</dcterms:modified>
</cp:coreProperties>
</file>