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1A1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52795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87141E">
        <w:rPr>
          <w:rFonts w:ascii="標楷體" w:eastAsia="標楷體" w:hAnsi="標楷體" w:hint="eastAsia"/>
          <w:b/>
          <w:sz w:val="28"/>
          <w:szCs w:val="28"/>
        </w:rPr>
        <w:t>2018/01/29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0257AC" w:rsidRDefault="00FC7199" w:rsidP="00D04456">
      <w:pPr>
        <w:widowControl/>
        <w:ind w:firstLineChars="200" w:firstLine="480"/>
        <w:jc w:val="both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</w:t>
      </w:r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10y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87141E">
        <w:rPr>
          <w:rFonts w:ascii="標楷體" w:eastAsia="標楷體" w:hAnsi="標楷體" w:cs="Arial" w:hint="eastAsia"/>
          <w:color w:val="000000"/>
          <w:kern w:val="0"/>
          <w:szCs w:val="24"/>
        </w:rPr>
        <w:t>持續在2.60%上方整理</w:t>
      </w:r>
      <w:r w:rsidR="00A66C36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87141E">
        <w:rPr>
          <w:rFonts w:ascii="標楷體" w:eastAsia="標楷體" w:hAnsi="標楷體" w:cs="Arial" w:hint="eastAsia"/>
          <w:color w:val="000000"/>
          <w:kern w:val="0"/>
          <w:szCs w:val="24"/>
        </w:rPr>
        <w:t>期間受到消息面影響，區間內上下震盪</w:t>
      </w:r>
      <w:r w:rsidR="00C5703F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87141E">
        <w:rPr>
          <w:rFonts w:ascii="標楷體" w:eastAsia="標楷體" w:hAnsi="標楷體" w:cs="Arial" w:hint="eastAsia"/>
          <w:color w:val="000000"/>
          <w:kern w:val="0"/>
          <w:szCs w:val="24"/>
        </w:rPr>
        <w:t>上周五美債10Y利率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87141E">
        <w:rPr>
          <w:rFonts w:ascii="標楷體" w:eastAsia="標楷體" w:hAnsi="標楷體" w:cs="Arial" w:hint="eastAsia"/>
          <w:color w:val="000000"/>
          <w:kern w:val="0"/>
          <w:szCs w:val="24"/>
        </w:rPr>
        <w:t>2.6599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2B557F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 w:rsidR="00C41D49">
        <w:rPr>
          <w:rFonts w:ascii="標楷體" w:eastAsia="標楷體" w:hAnsi="標楷體" w:cs="Arial" w:hint="eastAsia"/>
          <w:color w:val="000000"/>
          <w:kern w:val="0"/>
          <w:szCs w:val="24"/>
        </w:rPr>
        <w:t>10y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87141E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845F8A">
        <w:rPr>
          <w:rFonts w:ascii="標楷體" w:eastAsia="標楷體" w:hAnsi="標楷體" w:cs="Arial" w:hint="eastAsia"/>
          <w:color w:val="000000"/>
          <w:kern w:val="0"/>
          <w:szCs w:val="24"/>
        </w:rPr>
        <w:t>壽險業調節債券</w:t>
      </w:r>
      <w:r w:rsidR="0087141E">
        <w:rPr>
          <w:rFonts w:ascii="標楷體" w:eastAsia="標楷體" w:hAnsi="標楷體" w:cs="Arial" w:hint="eastAsia"/>
          <w:color w:val="000000"/>
          <w:kern w:val="0"/>
          <w:szCs w:val="24"/>
        </w:rPr>
        <w:t>壓力減輕</w:t>
      </w:r>
      <w:r w:rsidR="00845F8A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87141E">
        <w:rPr>
          <w:rFonts w:ascii="標楷體" w:eastAsia="標楷體" w:hAnsi="標楷體" w:cs="Arial" w:hint="eastAsia"/>
          <w:color w:val="000000"/>
          <w:kern w:val="0"/>
          <w:szCs w:val="24"/>
        </w:rPr>
        <w:t>以及台幣強勁升值影響</w:t>
      </w:r>
      <w:r w:rsidR="00582A5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87141E">
        <w:rPr>
          <w:rFonts w:ascii="標楷體" w:eastAsia="標楷體" w:hAnsi="標楷體" w:cs="Arial" w:hint="eastAsia"/>
          <w:color w:val="000000"/>
          <w:kern w:val="0"/>
          <w:szCs w:val="24"/>
        </w:rPr>
        <w:t>上周台債利率自高點下跌。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上周末收盤，5年期利率收在</w:t>
      </w:r>
      <w:r w:rsidR="00D04456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87141E">
        <w:rPr>
          <w:rFonts w:ascii="標楷體" w:eastAsia="標楷體" w:hAnsi="標楷體" w:cs="Arial" w:hint="eastAsia"/>
          <w:color w:val="000000"/>
          <w:kern w:val="0"/>
          <w:szCs w:val="24"/>
        </w:rPr>
        <w:t>678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%，10年期利率收在</w:t>
      </w:r>
      <w:r w:rsidR="0087141E">
        <w:rPr>
          <w:rFonts w:ascii="標楷體" w:eastAsia="標楷體" w:hAnsi="標楷體" w:cs="Arial" w:hint="eastAsia"/>
          <w:color w:val="000000"/>
          <w:kern w:val="0"/>
          <w:szCs w:val="24"/>
        </w:rPr>
        <w:t>1.0301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FC7199" w:rsidRDefault="00FC7199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</w:p>
    <w:p w:rsidR="00FC1E12" w:rsidRDefault="0087141E" w:rsidP="00FC1E12">
      <w:pPr>
        <w:widowControl/>
        <w:rPr>
          <w:rFonts w:ascii="標楷體" w:eastAsia="標楷體" w:hAnsi="標楷體"/>
          <w:szCs w:val="24"/>
        </w:rPr>
      </w:pPr>
      <w:r w:rsidRPr="0087141E">
        <w:rPr>
          <w:rFonts w:ascii="標楷體" w:eastAsia="標楷體" w:hAnsi="標楷體" w:hint="eastAsia"/>
          <w:szCs w:val="24"/>
        </w:rPr>
        <w:t>國際貨幣基金組織</w:t>
      </w:r>
      <w:r w:rsidRPr="0087141E">
        <w:rPr>
          <w:rFonts w:ascii="標楷體" w:eastAsia="標楷體" w:hAnsi="標楷體"/>
          <w:szCs w:val="24"/>
        </w:rPr>
        <w:t>(IMF)</w:t>
      </w:r>
      <w:r w:rsidRPr="0087141E">
        <w:rPr>
          <w:rFonts w:ascii="標楷體" w:eastAsia="標楷體" w:hAnsi="標楷體" w:hint="eastAsia"/>
          <w:szCs w:val="24"/>
        </w:rPr>
        <w:t>上月表示，</w:t>
      </w:r>
      <w:r w:rsidRPr="0087141E">
        <w:rPr>
          <w:rFonts w:ascii="標楷體" w:eastAsia="標楷體" w:hAnsi="標楷體"/>
          <w:szCs w:val="24"/>
        </w:rPr>
        <w:t>2017</w:t>
      </w:r>
      <w:r w:rsidRPr="0087141E">
        <w:rPr>
          <w:rFonts w:ascii="標楷體" w:eastAsia="標楷體" w:hAnsi="標楷體" w:hint="eastAsia"/>
          <w:szCs w:val="24"/>
        </w:rPr>
        <w:t>年第三季度全球外匯儲備中的美元</w:t>
      </w:r>
      <w:proofErr w:type="gramStart"/>
      <w:r w:rsidRPr="0087141E">
        <w:rPr>
          <w:rFonts w:ascii="標楷體" w:eastAsia="標楷體" w:hAnsi="標楷體" w:hint="eastAsia"/>
          <w:szCs w:val="24"/>
        </w:rPr>
        <w:t>占比縮</w:t>
      </w:r>
      <w:proofErr w:type="gramEnd"/>
      <w:r w:rsidRPr="0087141E">
        <w:rPr>
          <w:rFonts w:ascii="標楷體" w:eastAsia="標楷體" w:hAnsi="標楷體" w:hint="eastAsia"/>
          <w:szCs w:val="24"/>
        </w:rPr>
        <w:t>减至</w:t>
      </w:r>
      <w:r w:rsidRPr="0087141E">
        <w:rPr>
          <w:rFonts w:ascii="標楷體" w:eastAsia="標楷體" w:hAnsi="標楷體"/>
          <w:szCs w:val="24"/>
        </w:rPr>
        <w:t>63.5%</w:t>
      </w:r>
      <w:r w:rsidRPr="0087141E">
        <w:rPr>
          <w:rFonts w:ascii="標楷體" w:eastAsia="標楷體" w:hAnsi="標楷體" w:hint="eastAsia"/>
          <w:szCs w:val="24"/>
        </w:rPr>
        <w:t>，爲</w:t>
      </w:r>
      <w:r w:rsidRPr="0087141E">
        <w:rPr>
          <w:rFonts w:ascii="標楷體" w:eastAsia="標楷體" w:hAnsi="標楷體"/>
          <w:szCs w:val="24"/>
        </w:rPr>
        <w:t>2014</w:t>
      </w:r>
      <w:r w:rsidRPr="0087141E">
        <w:rPr>
          <w:rFonts w:ascii="標楷體" w:eastAsia="標楷體" w:hAnsi="標楷體" w:hint="eastAsia"/>
          <w:szCs w:val="24"/>
        </w:rPr>
        <w:t>年年中以來最低。</w:t>
      </w:r>
    </w:p>
    <w:p w:rsidR="00B541E1" w:rsidRPr="00FC1E12" w:rsidRDefault="00B541E1" w:rsidP="00FC1E12">
      <w:pPr>
        <w:widowControl/>
        <w:rPr>
          <w:rFonts w:ascii="標楷體" w:eastAsia="標楷體" w:hAnsi="標楷體"/>
          <w:szCs w:val="24"/>
        </w:rPr>
      </w:pPr>
      <w:r w:rsidRPr="00B541E1">
        <w:rPr>
          <w:rFonts w:ascii="標楷體" w:eastAsia="標楷體" w:hAnsi="標楷體" w:hint="eastAsia"/>
          <w:szCs w:val="24"/>
        </w:rPr>
        <w:t>受美國和中國經濟成長帶動，IMF將今明兩年全球經濟成長預估上調至3.9%，較10月預估上調了0.2個百分點。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F26EA7" w:rsidRDefault="00F26EA7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A421B" w:rsidRDefault="00DA421B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A421B" w:rsidRDefault="00DA421B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F334C8" w:rsidRDefault="00F334C8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F36A6" w:rsidRDefault="00DF36A6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C539A9" w:rsidRDefault="00C539A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111961" w:rsidRDefault="00DF36A6" w:rsidP="006A5E16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3800475"/>
            <wp:effectExtent l="0" t="0" r="0" b="0"/>
            <wp:docPr id="1" name="圖片 1" descr="C:\Users\BLOOMB~1\AppData\Local\Temp\Bloomberg\temp\bfmAA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AAE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0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6C39B2" w:rsidRDefault="00DF36A6" w:rsidP="006A5E16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4086225"/>
            <wp:effectExtent l="0" t="0" r="0" b="0"/>
            <wp:docPr id="2" name="圖片 2" descr="C:\Users\BLOOMB~1\AppData\Local\Temp\Bloomberg\temp\bfm4C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4CB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8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DF36A6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10025"/>
            <wp:effectExtent l="0" t="0" r="0" b="0"/>
            <wp:docPr id="3" name="圖片 3" descr="C:\Users\BLOOMB~1\AppData\Local\Temp\Bloomberg\temp\bfm19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190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1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B336C9" w:rsidRPr="0041787D" w:rsidRDefault="00DF36A6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152900"/>
            <wp:effectExtent l="0" t="0" r="0" b="0"/>
            <wp:docPr id="4" name="圖片 4" descr="C:\Users\BLOOMB~1\AppData\Local\Temp\Bloomberg\temp\bfmEE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EEA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5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D42087" w:rsidRDefault="00DF36A6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790950"/>
            <wp:effectExtent l="0" t="0" r="0" b="0"/>
            <wp:docPr id="5" name="圖片 5" descr="C:\Users\BLOOMB~1\AppData\Local\Temp\Bloomberg\temp\bfmE4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E4E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9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DF36A6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DF36A6">
        <w:rPr>
          <w:rFonts w:ascii="標楷體" w:eastAsia="標楷體" w:hAnsi="標楷體" w:hint="eastAsia"/>
          <w:b/>
          <w:sz w:val="26"/>
          <w:szCs w:val="26"/>
        </w:rPr>
        <w:t>台灣外銷訂單(年比)</w:t>
      </w:r>
    </w:p>
    <w:p w:rsidR="00A11F13" w:rsidRPr="00D93026" w:rsidRDefault="00DF36A6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57650"/>
            <wp:effectExtent l="0" t="0" r="0" b="0"/>
            <wp:docPr id="6" name="圖片 6" descr="C:\Users\BLOOMB~1\AppData\Local\Temp\Bloomberg\temp\bfmDB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DBDF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5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DF36A6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DF36A6">
        <w:rPr>
          <w:rFonts w:ascii="標楷體" w:eastAsia="標楷體" w:hAnsi="標楷體" w:hint="eastAsia"/>
          <w:b/>
          <w:sz w:val="26"/>
          <w:szCs w:val="26"/>
        </w:rPr>
        <w:t>歐洲經濟研究中心(ZEW)歐元區預期經濟成長</w:t>
      </w:r>
    </w:p>
    <w:p w:rsidR="00A816F1" w:rsidRDefault="00DF36A6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676650"/>
            <wp:effectExtent l="0" t="0" r="0" b="0"/>
            <wp:docPr id="7" name="圖片 7" descr="C:\Users\BLOOMB~1\AppData\Local\Temp\Bloomberg\temp\bfmE0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E0A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67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DF36A6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DF36A6">
        <w:rPr>
          <w:rFonts w:ascii="標楷體" w:eastAsia="標楷體" w:hAnsi="標楷體" w:hint="eastAsia"/>
          <w:b/>
          <w:sz w:val="26"/>
          <w:szCs w:val="26"/>
        </w:rPr>
        <w:lastRenderedPageBreak/>
        <w:t xml:space="preserve">美國新屋銷售單戶住宅 </w:t>
      </w:r>
      <w:proofErr w:type="gramStart"/>
      <w:r w:rsidRPr="00DF36A6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2D4BC5" w:rsidRPr="00AB6207" w:rsidRDefault="00DF36A6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19550"/>
            <wp:effectExtent l="0" t="0" r="0" b="0"/>
            <wp:docPr id="8" name="圖片 8" descr="C:\Users\BLOOMB~1\AppData\Local\Temp\Bloomberg\temp\bfm5D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5D0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1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Pr="0066732C" w:rsidRDefault="004C1B3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76700"/>
            <wp:effectExtent l="0" t="0" r="0" b="0"/>
            <wp:docPr id="9" name="圖片 9" descr="C:\Users\BLOOMB~1\AppData\Local\Temp\Bloomberg\temp\bfmC5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C5A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7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EE3" w:rsidRPr="00194E99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bookmarkStart w:id="0" w:name="_GoBack"/>
    <w:p w:rsidR="004F0CB9" w:rsidRDefault="004C1B3D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742" w:dyaOrig="11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49.25pt;height:563.25pt" o:ole="">
            <v:imagedata r:id="rId18" o:title=""/>
          </v:shape>
          <o:OLEObject Type="Embed" ProgID="Excel.Sheet.12" ShapeID="_x0000_i1034" DrawAspect="Content" ObjectID="_1578727172" r:id="rId19"/>
        </w:object>
      </w:r>
      <w:bookmarkEnd w:id="0"/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096D65">
        <w:rPr>
          <w:rFonts w:ascii="標楷體" w:eastAsia="標楷體" w:hAnsi="標楷體" w:cs="Arial" w:hint="eastAsia"/>
          <w:color w:val="000000"/>
          <w:kern w:val="0"/>
          <w:szCs w:val="24"/>
        </w:rPr>
        <w:t>區間上移至</w:t>
      </w:r>
      <w:r w:rsidR="00EB2B25">
        <w:rPr>
          <w:rFonts w:ascii="標楷體" w:eastAsia="標楷體" w:hAnsi="標楷體" w:cs="Arial" w:hint="eastAsia"/>
          <w:color w:val="000000"/>
          <w:kern w:val="0"/>
          <w:szCs w:val="24"/>
        </w:rPr>
        <w:t>2.60%~2.70</w:t>
      </w:r>
      <w:r w:rsidR="00096D65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FC1E12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096D65">
        <w:rPr>
          <w:rFonts w:ascii="標楷體" w:eastAsia="標楷體" w:hAnsi="標楷體" w:cs="Arial" w:hint="eastAsia"/>
          <w:color w:val="000000"/>
          <w:kern w:val="0"/>
          <w:szCs w:val="24"/>
        </w:rPr>
        <w:t>預估</w:t>
      </w:r>
      <w:r w:rsidR="00EB2B25">
        <w:rPr>
          <w:rFonts w:ascii="標楷體" w:eastAsia="標楷體" w:hAnsi="標楷體" w:cs="Arial" w:hint="eastAsia"/>
          <w:color w:val="000000"/>
          <w:kern w:val="0"/>
          <w:szCs w:val="24"/>
        </w:rPr>
        <w:t>受到上升月線影響，在經過整理後</w:t>
      </w:r>
      <w:r w:rsidR="00D04456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EB2B25">
        <w:rPr>
          <w:rFonts w:ascii="標楷體" w:eastAsia="標楷體" w:hAnsi="標楷體" w:cs="Arial" w:hint="eastAsia"/>
          <w:color w:val="000000"/>
          <w:kern w:val="0"/>
          <w:szCs w:val="24"/>
        </w:rPr>
        <w:t>仍有再度上漲的機會。</w:t>
      </w:r>
      <w:r w:rsidR="00D70099">
        <w:rPr>
          <w:rFonts w:ascii="標楷體" w:eastAsia="標楷體" w:hAnsi="標楷體" w:cs="Arial" w:hint="eastAsia"/>
          <w:color w:val="000000"/>
          <w:kern w:val="0"/>
          <w:szCs w:val="24"/>
        </w:rPr>
        <w:t>台債利率走勢上，</w:t>
      </w:r>
      <w:r w:rsidR="00D04456">
        <w:rPr>
          <w:rFonts w:ascii="標楷體" w:eastAsia="標楷體" w:hAnsi="標楷體" w:cs="Arial" w:hint="eastAsia"/>
          <w:color w:val="000000"/>
          <w:kern w:val="0"/>
          <w:szCs w:val="24"/>
        </w:rPr>
        <w:t>10y利率從</w:t>
      </w:r>
      <w:r w:rsidR="00EB2B25">
        <w:rPr>
          <w:rFonts w:ascii="標楷體" w:eastAsia="標楷體" w:hAnsi="標楷體" w:cs="Arial" w:hint="eastAsia"/>
          <w:color w:val="000000"/>
          <w:kern w:val="0"/>
          <w:szCs w:val="24"/>
        </w:rPr>
        <w:t>1.115%上方高點下跌，因為郵局出手買進</w:t>
      </w:r>
      <w:r w:rsidR="00D04456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EB2B25">
        <w:rPr>
          <w:rFonts w:ascii="標楷體" w:eastAsia="標楷體" w:hAnsi="標楷體" w:cs="Arial" w:hint="eastAsia"/>
          <w:color w:val="000000"/>
          <w:kern w:val="0"/>
          <w:szCs w:val="24"/>
        </w:rPr>
        <w:t>短線的支撐浮現</w:t>
      </w:r>
      <w:r w:rsidR="001B6B7B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715A6D" w:rsidP="002F5F0E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lastRenderedPageBreak/>
        <w:t>經濟數據方面</w:t>
      </w:r>
      <w:r w:rsidR="00D70099">
        <w:rPr>
          <w:rFonts w:ascii="標楷體" w:eastAsia="標楷體" w:hAnsi="標楷體" w:cs="Arial" w:hint="eastAsia"/>
          <w:color w:val="000000"/>
          <w:kern w:val="0"/>
        </w:rPr>
        <w:t>，</w:t>
      </w:r>
      <w:r w:rsidR="007E24EC">
        <w:rPr>
          <w:rFonts w:ascii="標楷體" w:eastAsia="標楷體" w:hAnsi="標楷體" w:cs="Arial" w:hint="eastAsia"/>
          <w:color w:val="000000"/>
          <w:kern w:val="0"/>
        </w:rPr>
        <w:t>陸續將公布</w:t>
      </w:r>
      <w:r w:rsidR="00EB2B25" w:rsidRPr="00EB2B25">
        <w:rPr>
          <w:rFonts w:ascii="標楷體" w:eastAsia="標楷體" w:hAnsi="標楷體" w:cs="Arial" w:hint="eastAsia"/>
          <w:color w:val="000000"/>
          <w:kern w:val="0"/>
        </w:rPr>
        <w:t>德國1月CPI初值</w:t>
      </w:r>
      <w:r w:rsidR="00BA2731">
        <w:rPr>
          <w:rFonts w:ascii="標楷體" w:eastAsia="標楷體" w:hAnsi="標楷體" w:cs="Arial" w:hint="eastAsia"/>
          <w:color w:val="000000"/>
          <w:kern w:val="0"/>
        </w:rPr>
        <w:t>，</w:t>
      </w:r>
      <w:r w:rsidR="00BA2731" w:rsidRPr="00BA2731">
        <w:rPr>
          <w:rFonts w:ascii="標楷體" w:eastAsia="標楷體" w:hAnsi="標楷體" w:cs="Arial" w:hint="eastAsia"/>
          <w:color w:val="000000"/>
          <w:kern w:val="0"/>
        </w:rPr>
        <w:t>美國1月消費者信心指數</w:t>
      </w:r>
      <w:r w:rsidR="00BA2731">
        <w:rPr>
          <w:rFonts w:ascii="標楷體" w:eastAsia="標楷體" w:hAnsi="標楷體" w:cs="Arial" w:hint="eastAsia"/>
          <w:color w:val="000000"/>
          <w:kern w:val="0"/>
        </w:rPr>
        <w:t>、</w:t>
      </w:r>
      <w:r w:rsidR="00BA2731" w:rsidRPr="00BA2731">
        <w:rPr>
          <w:rFonts w:ascii="標楷體" w:eastAsia="標楷體" w:hAnsi="標楷體" w:cs="Arial" w:hint="eastAsia"/>
          <w:color w:val="000000"/>
          <w:kern w:val="0"/>
        </w:rPr>
        <w:t>美國12月成屋待完成銷售指數</w:t>
      </w:r>
      <w:r w:rsidR="00BA2731">
        <w:rPr>
          <w:rFonts w:ascii="標楷體" w:eastAsia="標楷體" w:hAnsi="標楷體" w:cs="Arial" w:hint="eastAsia"/>
          <w:color w:val="000000"/>
          <w:kern w:val="0"/>
        </w:rPr>
        <w:t>、</w:t>
      </w:r>
      <w:r w:rsidR="00BA2731" w:rsidRPr="00BA2731">
        <w:rPr>
          <w:rFonts w:ascii="標楷體" w:eastAsia="標楷體" w:hAnsi="標楷體" w:cs="Arial" w:hint="eastAsia"/>
          <w:color w:val="000000"/>
          <w:kern w:val="0"/>
        </w:rPr>
        <w:t>美國1月非農就業崗位</w:t>
      </w:r>
      <w:r w:rsidR="00BA2731">
        <w:rPr>
          <w:rFonts w:ascii="標楷體" w:eastAsia="標楷體" w:hAnsi="標楷體" w:cs="Arial" w:hint="eastAsia"/>
          <w:color w:val="000000"/>
          <w:kern w:val="0"/>
        </w:rPr>
        <w:t>，</w:t>
      </w:r>
      <w:r w:rsidR="00BA2731" w:rsidRPr="00BA2731">
        <w:rPr>
          <w:rFonts w:ascii="標楷體" w:eastAsia="標楷體" w:hAnsi="標楷體" w:cs="Arial" w:hint="eastAsia"/>
          <w:color w:val="000000"/>
          <w:kern w:val="0"/>
        </w:rPr>
        <w:t>中國1月官方製造業及非製造業PMI</w:t>
      </w:r>
      <w:r w:rsidR="005E6F3F">
        <w:rPr>
          <w:rFonts w:ascii="標楷體" w:eastAsia="標楷體" w:hAnsi="標楷體" w:cs="Arial" w:hint="eastAsia"/>
          <w:color w:val="000000"/>
          <w:kern w:val="0"/>
        </w:rPr>
        <w:t>。</w:t>
      </w:r>
      <w:r w:rsidR="00BA2731">
        <w:rPr>
          <w:rFonts w:ascii="標楷體" w:eastAsia="標楷體" w:hAnsi="標楷體" w:cs="Arial" w:hint="eastAsia"/>
          <w:color w:val="000000"/>
          <w:kern w:val="0"/>
        </w:rPr>
        <w:t>預計數據表現尚佳，對</w:t>
      </w:r>
      <w:r w:rsidR="00E54C37">
        <w:rPr>
          <w:rFonts w:ascii="標楷體" w:eastAsia="標楷體" w:hAnsi="標楷體" w:cs="Arial" w:hint="eastAsia"/>
          <w:color w:val="000000"/>
          <w:kern w:val="0"/>
        </w:rPr>
        <w:t>美債利率</w:t>
      </w:r>
      <w:r w:rsidR="00BA2731">
        <w:rPr>
          <w:rFonts w:ascii="標楷體" w:eastAsia="標楷體" w:hAnsi="標楷體" w:cs="Arial" w:hint="eastAsia"/>
          <w:color w:val="000000"/>
          <w:kern w:val="0"/>
        </w:rPr>
        <w:t>而言，偏向整理，</w:t>
      </w:r>
      <w:r w:rsidR="003929B8">
        <w:rPr>
          <w:rFonts w:ascii="標楷體" w:eastAsia="標楷體" w:hAnsi="標楷體" w:cs="Arial" w:hint="eastAsia"/>
          <w:color w:val="000000"/>
          <w:kern w:val="0"/>
        </w:rPr>
        <w:t>預估在</w:t>
      </w:r>
      <w:r w:rsidR="00BA2731">
        <w:rPr>
          <w:rFonts w:ascii="標楷體" w:eastAsia="標楷體" w:hAnsi="標楷體" w:cs="Arial" w:hint="eastAsia"/>
          <w:color w:val="000000"/>
          <w:kern w:val="0"/>
        </w:rPr>
        <w:t>2.6</w:t>
      </w:r>
      <w:r w:rsidR="003929B8">
        <w:rPr>
          <w:rFonts w:ascii="標楷體" w:eastAsia="標楷體" w:hAnsi="標楷體" w:cs="Arial" w:hint="eastAsia"/>
          <w:color w:val="000000"/>
          <w:kern w:val="0"/>
        </w:rPr>
        <w:t>0%</w:t>
      </w:r>
      <w:r w:rsidR="00BA2731">
        <w:rPr>
          <w:rFonts w:ascii="標楷體" w:eastAsia="標楷體" w:hAnsi="標楷體" w:cs="Arial" w:hint="eastAsia"/>
          <w:color w:val="000000"/>
          <w:kern w:val="0"/>
        </w:rPr>
        <w:t>~2.7</w:t>
      </w:r>
      <w:r w:rsidR="00D043A6">
        <w:rPr>
          <w:rFonts w:ascii="標楷體" w:eastAsia="標楷體" w:hAnsi="標楷體" w:cs="Arial" w:hint="eastAsia"/>
          <w:color w:val="000000"/>
          <w:kern w:val="0"/>
        </w:rPr>
        <w:t>0%區間</w:t>
      </w:r>
      <w:r w:rsidR="003929B8">
        <w:rPr>
          <w:rFonts w:ascii="標楷體" w:eastAsia="標楷體" w:hAnsi="標楷體" w:cs="Arial" w:hint="eastAsia"/>
          <w:color w:val="000000"/>
          <w:kern w:val="0"/>
        </w:rPr>
        <w:t>，</w:t>
      </w:r>
      <w:r w:rsidR="00D043A6">
        <w:rPr>
          <w:rFonts w:ascii="標楷體" w:eastAsia="標楷體" w:hAnsi="標楷體" w:cs="Arial" w:hint="eastAsia"/>
          <w:color w:val="000000"/>
          <w:kern w:val="0"/>
        </w:rPr>
        <w:t>來自月線與季線的上揚趨勢，</w:t>
      </w:r>
      <w:proofErr w:type="gramStart"/>
      <w:r w:rsidR="00D043A6">
        <w:rPr>
          <w:rFonts w:ascii="標楷體" w:eastAsia="標楷體" w:hAnsi="標楷體" w:cs="Arial" w:hint="eastAsia"/>
          <w:color w:val="000000"/>
          <w:kern w:val="0"/>
        </w:rPr>
        <w:t>令美債利</w:t>
      </w:r>
      <w:proofErr w:type="gramEnd"/>
      <w:r w:rsidR="00D043A6">
        <w:rPr>
          <w:rFonts w:ascii="標楷體" w:eastAsia="標楷體" w:hAnsi="標楷體" w:cs="Arial" w:hint="eastAsia"/>
          <w:color w:val="000000"/>
          <w:kern w:val="0"/>
        </w:rPr>
        <w:t>率大跌的機會變小</w:t>
      </w:r>
      <w:r w:rsidR="00E54C37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</w:t>
      </w:r>
      <w:r w:rsidR="005E6F3F">
        <w:rPr>
          <w:rFonts w:ascii="標楷體" w:eastAsia="標楷體" w:hAnsi="標楷體" w:cs="Arial" w:hint="eastAsia"/>
          <w:color w:val="000000"/>
          <w:kern w:val="0"/>
        </w:rPr>
        <w:t>走勢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E54C37">
        <w:rPr>
          <w:rFonts w:ascii="標楷體" w:eastAsia="標楷體" w:hAnsi="標楷體" w:cs="Arial" w:hint="eastAsia"/>
          <w:color w:val="000000"/>
          <w:kern w:val="0"/>
        </w:rPr>
        <w:t>10Y利率</w:t>
      </w:r>
      <w:r w:rsidR="00D043A6">
        <w:rPr>
          <w:rFonts w:ascii="標楷體" w:eastAsia="標楷體" w:hAnsi="標楷體" w:cs="Arial" w:hint="eastAsia"/>
          <w:color w:val="000000"/>
          <w:kern w:val="0"/>
        </w:rPr>
        <w:t>在</w:t>
      </w:r>
      <w:r w:rsidR="00BA2731">
        <w:rPr>
          <w:rFonts w:ascii="標楷體" w:eastAsia="標楷體" w:hAnsi="標楷體" w:cs="Arial" w:hint="eastAsia"/>
          <w:color w:val="000000"/>
          <w:kern w:val="0"/>
        </w:rPr>
        <w:t>1.10%上方留下上影線，有郵局支撐，短線利率在大漲的機率低</w:t>
      </w:r>
      <w:r w:rsidR="00237C8F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C82B62">
        <w:rPr>
          <w:rFonts w:ascii="標楷體" w:eastAsia="標楷體" w:hAnsi="標楷體" w:cs="Arial" w:hint="eastAsia"/>
          <w:color w:val="000000"/>
          <w:kern w:val="0"/>
        </w:rPr>
        <w:t>台債</w:t>
      </w:r>
      <w:r w:rsidR="00AA72B6">
        <w:rPr>
          <w:rFonts w:ascii="標楷體" w:eastAsia="標楷體" w:hAnsi="標楷體" w:cs="Arial" w:hint="eastAsia"/>
          <w:color w:val="000000"/>
          <w:kern w:val="0"/>
        </w:rPr>
        <w:t>操作</w:t>
      </w:r>
      <w:proofErr w:type="gramEnd"/>
      <w:r w:rsidR="00AA72B6">
        <w:rPr>
          <w:rFonts w:ascii="標楷體" w:eastAsia="標楷體" w:hAnsi="標楷體" w:cs="Arial" w:hint="eastAsia"/>
          <w:color w:val="000000"/>
          <w:kern w:val="0"/>
        </w:rPr>
        <w:t>上，</w:t>
      </w:r>
      <w:r w:rsidR="005E6F3F">
        <w:rPr>
          <w:rFonts w:ascii="標楷體" w:eastAsia="標楷體" w:hAnsi="標楷體" w:cs="Arial" w:hint="eastAsia"/>
          <w:color w:val="000000"/>
          <w:kern w:val="0"/>
        </w:rPr>
        <w:t>目前利率</w:t>
      </w:r>
      <w:r w:rsidR="00D043A6">
        <w:rPr>
          <w:rFonts w:ascii="標楷體" w:eastAsia="標楷體" w:hAnsi="標楷體" w:cs="Arial" w:hint="eastAsia"/>
          <w:color w:val="000000"/>
          <w:kern w:val="0"/>
        </w:rPr>
        <w:t>走勢</w:t>
      </w:r>
      <w:r w:rsidR="00BA2731">
        <w:rPr>
          <w:rFonts w:ascii="標楷體" w:eastAsia="標楷體" w:hAnsi="標楷體" w:cs="Arial" w:hint="eastAsia"/>
          <w:color w:val="000000"/>
          <w:kern w:val="0"/>
        </w:rPr>
        <w:t>在1.0%~1.10%區間整理</w:t>
      </w:r>
      <w:r w:rsidR="00D043A6">
        <w:rPr>
          <w:rFonts w:ascii="標楷體" w:eastAsia="標楷體" w:hAnsi="標楷體" w:cs="Arial" w:hint="eastAsia"/>
          <w:color w:val="000000"/>
          <w:kern w:val="0"/>
        </w:rPr>
        <w:t>，回歸籌碼面主導</w:t>
      </w:r>
      <w:r w:rsidR="00BA2731">
        <w:rPr>
          <w:rFonts w:ascii="標楷體" w:eastAsia="標楷體" w:hAnsi="標楷體" w:cs="Arial" w:hint="eastAsia"/>
          <w:color w:val="000000"/>
          <w:kern w:val="0"/>
        </w:rPr>
        <w:t>，新10Y的發行前交易，空單成本高，利率上漲有支撐</w:t>
      </w:r>
      <w:r w:rsidR="00D043A6">
        <w:rPr>
          <w:rFonts w:ascii="標楷體" w:eastAsia="標楷體" w:hAnsi="標楷體" w:cs="Arial" w:hint="eastAsia"/>
          <w:color w:val="000000"/>
          <w:kern w:val="0"/>
        </w:rPr>
        <w:t>。操作上</w:t>
      </w:r>
      <w:r w:rsidR="009C485A">
        <w:rPr>
          <w:rFonts w:ascii="標楷體" w:eastAsia="標楷體" w:hAnsi="標楷體" w:cs="Arial" w:hint="eastAsia"/>
          <w:color w:val="000000"/>
          <w:kern w:val="0"/>
        </w:rPr>
        <w:t>，仍建議</w:t>
      </w:r>
      <w:r w:rsidR="00D043A6">
        <w:rPr>
          <w:rFonts w:ascii="標楷體" w:eastAsia="標楷體" w:hAnsi="標楷體" w:cs="Arial" w:hint="eastAsia"/>
          <w:color w:val="000000"/>
          <w:kern w:val="0"/>
        </w:rPr>
        <w:t>逢高</w:t>
      </w:r>
      <w:r w:rsidR="009C485A">
        <w:rPr>
          <w:rFonts w:ascii="標楷體" w:eastAsia="標楷體" w:hAnsi="標楷體" w:cs="Arial" w:hint="eastAsia"/>
          <w:color w:val="000000"/>
          <w:kern w:val="0"/>
        </w:rPr>
        <w:t>酌量投資布局</w:t>
      </w:r>
      <w:r w:rsidR="006D73F5">
        <w:rPr>
          <w:rFonts w:ascii="標楷體" w:eastAsia="標楷體" w:hAnsi="標楷體" w:cs="Arial" w:hint="eastAsia"/>
          <w:color w:val="000000"/>
          <w:kern w:val="0"/>
        </w:rPr>
        <w:t>。</w:t>
      </w:r>
      <w:r w:rsidR="00D61B0B">
        <w:rPr>
          <w:rFonts w:ascii="標楷體" w:eastAsia="標楷體" w:hAnsi="標楷體" w:cs="Arial" w:hint="eastAsia"/>
          <w:color w:val="000000"/>
          <w:kern w:val="0"/>
        </w:rPr>
        <w:t>預估近期台債10年期利率約為</w:t>
      </w:r>
      <w:r w:rsidR="00BA2731">
        <w:rPr>
          <w:rFonts w:ascii="標楷體" w:eastAsia="標楷體" w:hAnsi="標楷體" w:cs="Arial" w:hint="eastAsia"/>
          <w:color w:val="000000"/>
          <w:kern w:val="0"/>
        </w:rPr>
        <w:t>1.00</w:t>
      </w:r>
      <w:r w:rsidR="00D61B0B">
        <w:rPr>
          <w:rFonts w:ascii="標楷體" w:eastAsia="標楷體" w:hAnsi="標楷體" w:cs="Arial" w:hint="eastAsia"/>
          <w:color w:val="000000"/>
          <w:kern w:val="0"/>
        </w:rPr>
        <w:t>%至</w:t>
      </w:r>
      <w:r w:rsidR="00BA2731">
        <w:rPr>
          <w:rFonts w:ascii="標楷體" w:eastAsia="標楷體" w:hAnsi="標楷體" w:cs="Arial" w:hint="eastAsia"/>
          <w:color w:val="000000"/>
          <w:kern w:val="0"/>
        </w:rPr>
        <w:t>1.115</w:t>
      </w:r>
      <w:r w:rsidR="00D61B0B">
        <w:rPr>
          <w:rFonts w:ascii="標楷體" w:eastAsia="標楷體" w:hAnsi="標楷體" w:cs="Arial" w:hint="eastAsia"/>
          <w:color w:val="000000"/>
          <w:kern w:val="0"/>
        </w:rPr>
        <w:t>%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41E" w:rsidRDefault="0087141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1B3D" w:rsidRPr="004C1B3D">
          <w:rPr>
            <w:noProof/>
            <w:lang w:val="zh-TW"/>
          </w:rPr>
          <w:t>7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41E" w:rsidRDefault="0087141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41E" w:rsidRDefault="0087141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41E" w:rsidRDefault="0087141E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41E" w:rsidRDefault="0087141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5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3DA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28"/>
    <w:rsid w:val="00043DB2"/>
    <w:rsid w:val="00044874"/>
    <w:rsid w:val="0004554A"/>
    <w:rsid w:val="000545A6"/>
    <w:rsid w:val="00056ED9"/>
    <w:rsid w:val="000614E7"/>
    <w:rsid w:val="00062224"/>
    <w:rsid w:val="000641DA"/>
    <w:rsid w:val="000651DD"/>
    <w:rsid w:val="0006671F"/>
    <w:rsid w:val="000678A5"/>
    <w:rsid w:val="000713A2"/>
    <w:rsid w:val="000724A8"/>
    <w:rsid w:val="00075C50"/>
    <w:rsid w:val="0007724B"/>
    <w:rsid w:val="0007790C"/>
    <w:rsid w:val="00081B4A"/>
    <w:rsid w:val="00082464"/>
    <w:rsid w:val="000849C6"/>
    <w:rsid w:val="000879B2"/>
    <w:rsid w:val="0009305A"/>
    <w:rsid w:val="000944CC"/>
    <w:rsid w:val="00094961"/>
    <w:rsid w:val="00095049"/>
    <w:rsid w:val="000950EA"/>
    <w:rsid w:val="00095D94"/>
    <w:rsid w:val="00095F37"/>
    <w:rsid w:val="00096D65"/>
    <w:rsid w:val="00097A42"/>
    <w:rsid w:val="000A04D1"/>
    <w:rsid w:val="000A19BC"/>
    <w:rsid w:val="000A477A"/>
    <w:rsid w:val="000A486B"/>
    <w:rsid w:val="000B3EE6"/>
    <w:rsid w:val="000B5E7F"/>
    <w:rsid w:val="000B6AC2"/>
    <w:rsid w:val="000C06F0"/>
    <w:rsid w:val="000C2DAA"/>
    <w:rsid w:val="000C318D"/>
    <w:rsid w:val="000C4024"/>
    <w:rsid w:val="000C42A3"/>
    <w:rsid w:val="000C4F28"/>
    <w:rsid w:val="000C5C36"/>
    <w:rsid w:val="000C6C6F"/>
    <w:rsid w:val="000C77F5"/>
    <w:rsid w:val="000D14BF"/>
    <w:rsid w:val="000D1B5C"/>
    <w:rsid w:val="000D252F"/>
    <w:rsid w:val="000D2D90"/>
    <w:rsid w:val="000D5460"/>
    <w:rsid w:val="000D6232"/>
    <w:rsid w:val="000D62DD"/>
    <w:rsid w:val="000D6DA8"/>
    <w:rsid w:val="000D74E7"/>
    <w:rsid w:val="000E012C"/>
    <w:rsid w:val="000E0D07"/>
    <w:rsid w:val="000E0EB0"/>
    <w:rsid w:val="000E24F2"/>
    <w:rsid w:val="000E2E15"/>
    <w:rsid w:val="000E386F"/>
    <w:rsid w:val="000E533D"/>
    <w:rsid w:val="000E6AC2"/>
    <w:rsid w:val="000F11F4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1961"/>
    <w:rsid w:val="00113C88"/>
    <w:rsid w:val="00115520"/>
    <w:rsid w:val="0011585C"/>
    <w:rsid w:val="001158B5"/>
    <w:rsid w:val="00115CE8"/>
    <w:rsid w:val="0012142F"/>
    <w:rsid w:val="00122680"/>
    <w:rsid w:val="001229FD"/>
    <w:rsid w:val="00122DB6"/>
    <w:rsid w:val="00126281"/>
    <w:rsid w:val="0013244C"/>
    <w:rsid w:val="00134E37"/>
    <w:rsid w:val="001355C8"/>
    <w:rsid w:val="001358B2"/>
    <w:rsid w:val="0013641B"/>
    <w:rsid w:val="00137FEB"/>
    <w:rsid w:val="0014095A"/>
    <w:rsid w:val="00142391"/>
    <w:rsid w:val="00143185"/>
    <w:rsid w:val="001440DA"/>
    <w:rsid w:val="00146282"/>
    <w:rsid w:val="00146409"/>
    <w:rsid w:val="00150C21"/>
    <w:rsid w:val="00154D9B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2A53"/>
    <w:rsid w:val="00182B40"/>
    <w:rsid w:val="00185306"/>
    <w:rsid w:val="00187FBF"/>
    <w:rsid w:val="001922B4"/>
    <w:rsid w:val="00194255"/>
    <w:rsid w:val="00194DC7"/>
    <w:rsid w:val="00194E99"/>
    <w:rsid w:val="001A1CD7"/>
    <w:rsid w:val="001A2274"/>
    <w:rsid w:val="001A2DEF"/>
    <w:rsid w:val="001A678C"/>
    <w:rsid w:val="001A7D7F"/>
    <w:rsid w:val="001B2500"/>
    <w:rsid w:val="001B2FB5"/>
    <w:rsid w:val="001B55CD"/>
    <w:rsid w:val="001B6B7B"/>
    <w:rsid w:val="001C12D6"/>
    <w:rsid w:val="001C1C2F"/>
    <w:rsid w:val="001C435C"/>
    <w:rsid w:val="001C4DD1"/>
    <w:rsid w:val="001C5DFA"/>
    <w:rsid w:val="001C5FC6"/>
    <w:rsid w:val="001C68D3"/>
    <w:rsid w:val="001D19B5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260D2"/>
    <w:rsid w:val="00230E5C"/>
    <w:rsid w:val="0023682B"/>
    <w:rsid w:val="00237C8F"/>
    <w:rsid w:val="00240929"/>
    <w:rsid w:val="00242E9D"/>
    <w:rsid w:val="00243A76"/>
    <w:rsid w:val="0024414A"/>
    <w:rsid w:val="0024528C"/>
    <w:rsid w:val="002464F1"/>
    <w:rsid w:val="0025120E"/>
    <w:rsid w:val="002519A3"/>
    <w:rsid w:val="00253354"/>
    <w:rsid w:val="00255449"/>
    <w:rsid w:val="00257E2D"/>
    <w:rsid w:val="00260578"/>
    <w:rsid w:val="002616F5"/>
    <w:rsid w:val="00262185"/>
    <w:rsid w:val="002635D9"/>
    <w:rsid w:val="00266ADA"/>
    <w:rsid w:val="00266DED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017B"/>
    <w:rsid w:val="002912B7"/>
    <w:rsid w:val="00295983"/>
    <w:rsid w:val="00295BB6"/>
    <w:rsid w:val="00297871"/>
    <w:rsid w:val="00297897"/>
    <w:rsid w:val="00297BD7"/>
    <w:rsid w:val="00297E04"/>
    <w:rsid w:val="002A0497"/>
    <w:rsid w:val="002A22B8"/>
    <w:rsid w:val="002A57FA"/>
    <w:rsid w:val="002B12D6"/>
    <w:rsid w:val="002B1FBC"/>
    <w:rsid w:val="002B23B7"/>
    <w:rsid w:val="002B273F"/>
    <w:rsid w:val="002B52C2"/>
    <w:rsid w:val="002B557F"/>
    <w:rsid w:val="002B7982"/>
    <w:rsid w:val="002B7C8A"/>
    <w:rsid w:val="002C006E"/>
    <w:rsid w:val="002C3E08"/>
    <w:rsid w:val="002C4107"/>
    <w:rsid w:val="002C44B1"/>
    <w:rsid w:val="002D19F9"/>
    <w:rsid w:val="002D299F"/>
    <w:rsid w:val="002D30EF"/>
    <w:rsid w:val="002D31EB"/>
    <w:rsid w:val="002D3DDD"/>
    <w:rsid w:val="002D4BC5"/>
    <w:rsid w:val="002D5634"/>
    <w:rsid w:val="002D5C05"/>
    <w:rsid w:val="002D5C10"/>
    <w:rsid w:val="002D790C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5651"/>
    <w:rsid w:val="002E7FDB"/>
    <w:rsid w:val="002F0DBD"/>
    <w:rsid w:val="002F1A5D"/>
    <w:rsid w:val="002F26C9"/>
    <w:rsid w:val="002F38FC"/>
    <w:rsid w:val="002F4BB0"/>
    <w:rsid w:val="002F5F0E"/>
    <w:rsid w:val="002F70C3"/>
    <w:rsid w:val="00300D5F"/>
    <w:rsid w:val="0030137B"/>
    <w:rsid w:val="0030477D"/>
    <w:rsid w:val="00307295"/>
    <w:rsid w:val="00310242"/>
    <w:rsid w:val="0031131A"/>
    <w:rsid w:val="003127E7"/>
    <w:rsid w:val="00313469"/>
    <w:rsid w:val="00313893"/>
    <w:rsid w:val="00314AB7"/>
    <w:rsid w:val="00314E7C"/>
    <w:rsid w:val="0031552B"/>
    <w:rsid w:val="00316FEA"/>
    <w:rsid w:val="003200A5"/>
    <w:rsid w:val="003208C7"/>
    <w:rsid w:val="00320D13"/>
    <w:rsid w:val="003210CE"/>
    <w:rsid w:val="00322228"/>
    <w:rsid w:val="0032230A"/>
    <w:rsid w:val="0032345A"/>
    <w:rsid w:val="00325971"/>
    <w:rsid w:val="00325BC0"/>
    <w:rsid w:val="00327B5B"/>
    <w:rsid w:val="00332A81"/>
    <w:rsid w:val="00333743"/>
    <w:rsid w:val="003360E6"/>
    <w:rsid w:val="0034225D"/>
    <w:rsid w:val="00343709"/>
    <w:rsid w:val="00344DE5"/>
    <w:rsid w:val="003452BC"/>
    <w:rsid w:val="00345A33"/>
    <w:rsid w:val="00346031"/>
    <w:rsid w:val="00350A00"/>
    <w:rsid w:val="00350BC6"/>
    <w:rsid w:val="00350F81"/>
    <w:rsid w:val="003521E3"/>
    <w:rsid w:val="003600DC"/>
    <w:rsid w:val="00360148"/>
    <w:rsid w:val="00361772"/>
    <w:rsid w:val="00361CA4"/>
    <w:rsid w:val="00363948"/>
    <w:rsid w:val="00363BD1"/>
    <w:rsid w:val="003640C2"/>
    <w:rsid w:val="00364CAB"/>
    <w:rsid w:val="00365302"/>
    <w:rsid w:val="003653A0"/>
    <w:rsid w:val="00367A05"/>
    <w:rsid w:val="00370A31"/>
    <w:rsid w:val="00370A53"/>
    <w:rsid w:val="00371F20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1F57"/>
    <w:rsid w:val="003929B8"/>
    <w:rsid w:val="00392B58"/>
    <w:rsid w:val="00392F03"/>
    <w:rsid w:val="0039586A"/>
    <w:rsid w:val="00396152"/>
    <w:rsid w:val="00396191"/>
    <w:rsid w:val="003972BB"/>
    <w:rsid w:val="00397545"/>
    <w:rsid w:val="00397938"/>
    <w:rsid w:val="003A04FC"/>
    <w:rsid w:val="003A2375"/>
    <w:rsid w:val="003A5798"/>
    <w:rsid w:val="003A6C24"/>
    <w:rsid w:val="003A762F"/>
    <w:rsid w:val="003B0D81"/>
    <w:rsid w:val="003B327E"/>
    <w:rsid w:val="003C0F9C"/>
    <w:rsid w:val="003C2A2B"/>
    <w:rsid w:val="003C4D2C"/>
    <w:rsid w:val="003C5583"/>
    <w:rsid w:val="003C7A71"/>
    <w:rsid w:val="003D1701"/>
    <w:rsid w:val="003D2112"/>
    <w:rsid w:val="003D2A17"/>
    <w:rsid w:val="003D6497"/>
    <w:rsid w:val="003E13F0"/>
    <w:rsid w:val="003E1444"/>
    <w:rsid w:val="003E3312"/>
    <w:rsid w:val="003E5E79"/>
    <w:rsid w:val="003F1328"/>
    <w:rsid w:val="003F35FA"/>
    <w:rsid w:val="003F41F7"/>
    <w:rsid w:val="003F46CD"/>
    <w:rsid w:val="003F505F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252C"/>
    <w:rsid w:val="0042385B"/>
    <w:rsid w:val="00427914"/>
    <w:rsid w:val="004279A5"/>
    <w:rsid w:val="00427C7E"/>
    <w:rsid w:val="00433B68"/>
    <w:rsid w:val="004357FC"/>
    <w:rsid w:val="00437D47"/>
    <w:rsid w:val="00441499"/>
    <w:rsid w:val="00441592"/>
    <w:rsid w:val="00442879"/>
    <w:rsid w:val="004432F9"/>
    <w:rsid w:val="0044431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7503B"/>
    <w:rsid w:val="0048400D"/>
    <w:rsid w:val="00484E1E"/>
    <w:rsid w:val="004859A6"/>
    <w:rsid w:val="00487390"/>
    <w:rsid w:val="00492151"/>
    <w:rsid w:val="00492C80"/>
    <w:rsid w:val="00492D7B"/>
    <w:rsid w:val="004A1B7A"/>
    <w:rsid w:val="004A6A43"/>
    <w:rsid w:val="004A7BBB"/>
    <w:rsid w:val="004B27CE"/>
    <w:rsid w:val="004B2BF3"/>
    <w:rsid w:val="004B3AD1"/>
    <w:rsid w:val="004B4982"/>
    <w:rsid w:val="004B5C92"/>
    <w:rsid w:val="004B6627"/>
    <w:rsid w:val="004B6A42"/>
    <w:rsid w:val="004B7C90"/>
    <w:rsid w:val="004C0DF3"/>
    <w:rsid w:val="004C180E"/>
    <w:rsid w:val="004C1B3D"/>
    <w:rsid w:val="004C339D"/>
    <w:rsid w:val="004C43A9"/>
    <w:rsid w:val="004C60F5"/>
    <w:rsid w:val="004D06EC"/>
    <w:rsid w:val="004D173D"/>
    <w:rsid w:val="004D247B"/>
    <w:rsid w:val="004D3467"/>
    <w:rsid w:val="004D4A2A"/>
    <w:rsid w:val="004D4DDA"/>
    <w:rsid w:val="004D5956"/>
    <w:rsid w:val="004D6068"/>
    <w:rsid w:val="004D735D"/>
    <w:rsid w:val="004E190C"/>
    <w:rsid w:val="004E2520"/>
    <w:rsid w:val="004E2B6D"/>
    <w:rsid w:val="004E2C12"/>
    <w:rsid w:val="004E6255"/>
    <w:rsid w:val="004E677C"/>
    <w:rsid w:val="004E7CA7"/>
    <w:rsid w:val="004F0CB9"/>
    <w:rsid w:val="004F2CB4"/>
    <w:rsid w:val="004F30EF"/>
    <w:rsid w:val="004F3449"/>
    <w:rsid w:val="004F4DF2"/>
    <w:rsid w:val="00500B96"/>
    <w:rsid w:val="005020A3"/>
    <w:rsid w:val="00503396"/>
    <w:rsid w:val="005055C3"/>
    <w:rsid w:val="005064D3"/>
    <w:rsid w:val="00510FB0"/>
    <w:rsid w:val="00514A99"/>
    <w:rsid w:val="00520190"/>
    <w:rsid w:val="005204FD"/>
    <w:rsid w:val="00521673"/>
    <w:rsid w:val="00524041"/>
    <w:rsid w:val="0052685B"/>
    <w:rsid w:val="00527155"/>
    <w:rsid w:val="0052795E"/>
    <w:rsid w:val="00527B88"/>
    <w:rsid w:val="00527EF8"/>
    <w:rsid w:val="0053090A"/>
    <w:rsid w:val="00530F1D"/>
    <w:rsid w:val="005332BF"/>
    <w:rsid w:val="005334EB"/>
    <w:rsid w:val="0053454E"/>
    <w:rsid w:val="00535F1E"/>
    <w:rsid w:val="00537B0C"/>
    <w:rsid w:val="00540419"/>
    <w:rsid w:val="00542964"/>
    <w:rsid w:val="005437B0"/>
    <w:rsid w:val="00544171"/>
    <w:rsid w:val="00546363"/>
    <w:rsid w:val="00546443"/>
    <w:rsid w:val="005468CE"/>
    <w:rsid w:val="005520B5"/>
    <w:rsid w:val="0055320E"/>
    <w:rsid w:val="00554370"/>
    <w:rsid w:val="00554A0A"/>
    <w:rsid w:val="00555BC8"/>
    <w:rsid w:val="00556437"/>
    <w:rsid w:val="0055656A"/>
    <w:rsid w:val="005613D0"/>
    <w:rsid w:val="005659B1"/>
    <w:rsid w:val="00567C7E"/>
    <w:rsid w:val="005706A5"/>
    <w:rsid w:val="005719AE"/>
    <w:rsid w:val="00573F2D"/>
    <w:rsid w:val="00576229"/>
    <w:rsid w:val="005820B0"/>
    <w:rsid w:val="00582A57"/>
    <w:rsid w:val="005832CB"/>
    <w:rsid w:val="005878E3"/>
    <w:rsid w:val="00587937"/>
    <w:rsid w:val="00590715"/>
    <w:rsid w:val="005952A3"/>
    <w:rsid w:val="005962B3"/>
    <w:rsid w:val="005962C4"/>
    <w:rsid w:val="005A049A"/>
    <w:rsid w:val="005A099D"/>
    <w:rsid w:val="005A2CE3"/>
    <w:rsid w:val="005A37C5"/>
    <w:rsid w:val="005A3DEB"/>
    <w:rsid w:val="005A48A1"/>
    <w:rsid w:val="005B1BEA"/>
    <w:rsid w:val="005B5196"/>
    <w:rsid w:val="005C1E67"/>
    <w:rsid w:val="005C23D7"/>
    <w:rsid w:val="005C382F"/>
    <w:rsid w:val="005C3BFF"/>
    <w:rsid w:val="005C4F4E"/>
    <w:rsid w:val="005C54CC"/>
    <w:rsid w:val="005C60CA"/>
    <w:rsid w:val="005C6664"/>
    <w:rsid w:val="005C67A8"/>
    <w:rsid w:val="005C7E77"/>
    <w:rsid w:val="005C7EA6"/>
    <w:rsid w:val="005D2007"/>
    <w:rsid w:val="005D4490"/>
    <w:rsid w:val="005D4C42"/>
    <w:rsid w:val="005D55D4"/>
    <w:rsid w:val="005D5B86"/>
    <w:rsid w:val="005D6A94"/>
    <w:rsid w:val="005E1A08"/>
    <w:rsid w:val="005E3048"/>
    <w:rsid w:val="005E4492"/>
    <w:rsid w:val="005E6F3F"/>
    <w:rsid w:val="005E733E"/>
    <w:rsid w:val="005F1834"/>
    <w:rsid w:val="005F6154"/>
    <w:rsid w:val="005F740B"/>
    <w:rsid w:val="0060048D"/>
    <w:rsid w:val="0060072D"/>
    <w:rsid w:val="00600F5C"/>
    <w:rsid w:val="00602CAA"/>
    <w:rsid w:val="00604E04"/>
    <w:rsid w:val="00606DD6"/>
    <w:rsid w:val="006117D0"/>
    <w:rsid w:val="006126F7"/>
    <w:rsid w:val="00615272"/>
    <w:rsid w:val="00616755"/>
    <w:rsid w:val="006177C6"/>
    <w:rsid w:val="0062421E"/>
    <w:rsid w:val="006246B0"/>
    <w:rsid w:val="00625B18"/>
    <w:rsid w:val="00626379"/>
    <w:rsid w:val="00627364"/>
    <w:rsid w:val="00632660"/>
    <w:rsid w:val="00634768"/>
    <w:rsid w:val="00635B4D"/>
    <w:rsid w:val="00636955"/>
    <w:rsid w:val="0063760C"/>
    <w:rsid w:val="0063773C"/>
    <w:rsid w:val="00640A68"/>
    <w:rsid w:val="00643D43"/>
    <w:rsid w:val="00644E09"/>
    <w:rsid w:val="00650B93"/>
    <w:rsid w:val="00650BA7"/>
    <w:rsid w:val="00655376"/>
    <w:rsid w:val="00655754"/>
    <w:rsid w:val="006566A5"/>
    <w:rsid w:val="00656E84"/>
    <w:rsid w:val="00656FC6"/>
    <w:rsid w:val="006577E8"/>
    <w:rsid w:val="0066317E"/>
    <w:rsid w:val="006642B1"/>
    <w:rsid w:val="0066732C"/>
    <w:rsid w:val="00667E29"/>
    <w:rsid w:val="0067471C"/>
    <w:rsid w:val="00676147"/>
    <w:rsid w:val="006765D3"/>
    <w:rsid w:val="00676E8A"/>
    <w:rsid w:val="00677353"/>
    <w:rsid w:val="006816EF"/>
    <w:rsid w:val="00685587"/>
    <w:rsid w:val="00685EA3"/>
    <w:rsid w:val="006911E0"/>
    <w:rsid w:val="00692DAE"/>
    <w:rsid w:val="0069388A"/>
    <w:rsid w:val="00694B6D"/>
    <w:rsid w:val="00695F15"/>
    <w:rsid w:val="0069694B"/>
    <w:rsid w:val="00696C6F"/>
    <w:rsid w:val="00697D8E"/>
    <w:rsid w:val="006A1B2C"/>
    <w:rsid w:val="006A259B"/>
    <w:rsid w:val="006A2ABF"/>
    <w:rsid w:val="006A3BFC"/>
    <w:rsid w:val="006A480E"/>
    <w:rsid w:val="006A5BA6"/>
    <w:rsid w:val="006A5E16"/>
    <w:rsid w:val="006A5F37"/>
    <w:rsid w:val="006A6663"/>
    <w:rsid w:val="006A6D72"/>
    <w:rsid w:val="006A731E"/>
    <w:rsid w:val="006A7D3C"/>
    <w:rsid w:val="006A7EDF"/>
    <w:rsid w:val="006A7F40"/>
    <w:rsid w:val="006B153B"/>
    <w:rsid w:val="006B22CC"/>
    <w:rsid w:val="006B4B88"/>
    <w:rsid w:val="006B5BB4"/>
    <w:rsid w:val="006B640A"/>
    <w:rsid w:val="006B6E4F"/>
    <w:rsid w:val="006B7F15"/>
    <w:rsid w:val="006C13BA"/>
    <w:rsid w:val="006C39B2"/>
    <w:rsid w:val="006C57F6"/>
    <w:rsid w:val="006C7C11"/>
    <w:rsid w:val="006D3ED6"/>
    <w:rsid w:val="006D5B9C"/>
    <w:rsid w:val="006D626F"/>
    <w:rsid w:val="006D73F5"/>
    <w:rsid w:val="006E065F"/>
    <w:rsid w:val="006E2E75"/>
    <w:rsid w:val="006E741E"/>
    <w:rsid w:val="006F124E"/>
    <w:rsid w:val="006F2B02"/>
    <w:rsid w:val="006F3005"/>
    <w:rsid w:val="006F5212"/>
    <w:rsid w:val="006F5321"/>
    <w:rsid w:val="006F57B2"/>
    <w:rsid w:val="006F58C2"/>
    <w:rsid w:val="006F5E3F"/>
    <w:rsid w:val="006F65F3"/>
    <w:rsid w:val="00702322"/>
    <w:rsid w:val="00704A30"/>
    <w:rsid w:val="00711444"/>
    <w:rsid w:val="00713BB1"/>
    <w:rsid w:val="00715A6D"/>
    <w:rsid w:val="00716156"/>
    <w:rsid w:val="00720499"/>
    <w:rsid w:val="007230E1"/>
    <w:rsid w:val="007252DE"/>
    <w:rsid w:val="00725318"/>
    <w:rsid w:val="00732308"/>
    <w:rsid w:val="00732D01"/>
    <w:rsid w:val="00735750"/>
    <w:rsid w:val="00735CD5"/>
    <w:rsid w:val="00736496"/>
    <w:rsid w:val="007408AD"/>
    <w:rsid w:val="00740924"/>
    <w:rsid w:val="007423E5"/>
    <w:rsid w:val="00745920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15DF"/>
    <w:rsid w:val="0078244B"/>
    <w:rsid w:val="007841E5"/>
    <w:rsid w:val="00785211"/>
    <w:rsid w:val="007860BF"/>
    <w:rsid w:val="00786E45"/>
    <w:rsid w:val="0078734B"/>
    <w:rsid w:val="007902B0"/>
    <w:rsid w:val="00790F40"/>
    <w:rsid w:val="0079150C"/>
    <w:rsid w:val="00791E70"/>
    <w:rsid w:val="00794EE3"/>
    <w:rsid w:val="00796924"/>
    <w:rsid w:val="007A2930"/>
    <w:rsid w:val="007A4304"/>
    <w:rsid w:val="007A439C"/>
    <w:rsid w:val="007A44FD"/>
    <w:rsid w:val="007A7AD2"/>
    <w:rsid w:val="007A7D35"/>
    <w:rsid w:val="007B2BE4"/>
    <w:rsid w:val="007B3A3D"/>
    <w:rsid w:val="007C0118"/>
    <w:rsid w:val="007C0B2A"/>
    <w:rsid w:val="007C1625"/>
    <w:rsid w:val="007C20EB"/>
    <w:rsid w:val="007C3294"/>
    <w:rsid w:val="007C34A2"/>
    <w:rsid w:val="007C52F8"/>
    <w:rsid w:val="007C5D79"/>
    <w:rsid w:val="007C79A0"/>
    <w:rsid w:val="007C7E29"/>
    <w:rsid w:val="007D0750"/>
    <w:rsid w:val="007D129A"/>
    <w:rsid w:val="007D548E"/>
    <w:rsid w:val="007D67A4"/>
    <w:rsid w:val="007E14A5"/>
    <w:rsid w:val="007E1539"/>
    <w:rsid w:val="007E222B"/>
    <w:rsid w:val="007E22E8"/>
    <w:rsid w:val="007E24EC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05DF"/>
    <w:rsid w:val="0081209B"/>
    <w:rsid w:val="00813A06"/>
    <w:rsid w:val="008152CA"/>
    <w:rsid w:val="00815786"/>
    <w:rsid w:val="0082512A"/>
    <w:rsid w:val="008264EF"/>
    <w:rsid w:val="00826E64"/>
    <w:rsid w:val="0083132D"/>
    <w:rsid w:val="00832042"/>
    <w:rsid w:val="00832A60"/>
    <w:rsid w:val="0083408D"/>
    <w:rsid w:val="0083451F"/>
    <w:rsid w:val="00834D80"/>
    <w:rsid w:val="00835361"/>
    <w:rsid w:val="008372C4"/>
    <w:rsid w:val="00837948"/>
    <w:rsid w:val="00837D5B"/>
    <w:rsid w:val="008405D4"/>
    <w:rsid w:val="008410F5"/>
    <w:rsid w:val="00841277"/>
    <w:rsid w:val="00845F8A"/>
    <w:rsid w:val="00846636"/>
    <w:rsid w:val="00846AE5"/>
    <w:rsid w:val="00847E9C"/>
    <w:rsid w:val="00850F26"/>
    <w:rsid w:val="00852E48"/>
    <w:rsid w:val="00853E23"/>
    <w:rsid w:val="00856151"/>
    <w:rsid w:val="00856759"/>
    <w:rsid w:val="00860B34"/>
    <w:rsid w:val="00861091"/>
    <w:rsid w:val="00862138"/>
    <w:rsid w:val="00865AA6"/>
    <w:rsid w:val="008671F6"/>
    <w:rsid w:val="00867BB9"/>
    <w:rsid w:val="00867EF0"/>
    <w:rsid w:val="00870530"/>
    <w:rsid w:val="00870C67"/>
    <w:rsid w:val="0087141E"/>
    <w:rsid w:val="00871582"/>
    <w:rsid w:val="00872024"/>
    <w:rsid w:val="00873716"/>
    <w:rsid w:val="00877436"/>
    <w:rsid w:val="00880D7C"/>
    <w:rsid w:val="00882267"/>
    <w:rsid w:val="008859DE"/>
    <w:rsid w:val="00886F58"/>
    <w:rsid w:val="00887011"/>
    <w:rsid w:val="00887E8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557C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658F"/>
    <w:rsid w:val="008D7198"/>
    <w:rsid w:val="008E05F9"/>
    <w:rsid w:val="008E211E"/>
    <w:rsid w:val="008E23AE"/>
    <w:rsid w:val="008E2C65"/>
    <w:rsid w:val="008E3A34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4F03"/>
    <w:rsid w:val="0090679A"/>
    <w:rsid w:val="00906861"/>
    <w:rsid w:val="00907B8E"/>
    <w:rsid w:val="00910327"/>
    <w:rsid w:val="009105C2"/>
    <w:rsid w:val="00912A51"/>
    <w:rsid w:val="00913005"/>
    <w:rsid w:val="00915FCF"/>
    <w:rsid w:val="0091640F"/>
    <w:rsid w:val="00920DFF"/>
    <w:rsid w:val="00923EF4"/>
    <w:rsid w:val="0092495B"/>
    <w:rsid w:val="00924D56"/>
    <w:rsid w:val="0093014D"/>
    <w:rsid w:val="0093092A"/>
    <w:rsid w:val="0093519D"/>
    <w:rsid w:val="0093559D"/>
    <w:rsid w:val="00935824"/>
    <w:rsid w:val="00935E3D"/>
    <w:rsid w:val="00936606"/>
    <w:rsid w:val="009405F7"/>
    <w:rsid w:val="00941C81"/>
    <w:rsid w:val="00942624"/>
    <w:rsid w:val="009457AE"/>
    <w:rsid w:val="009457F7"/>
    <w:rsid w:val="009468FB"/>
    <w:rsid w:val="00951618"/>
    <w:rsid w:val="00951C7B"/>
    <w:rsid w:val="00953659"/>
    <w:rsid w:val="00954602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58F4"/>
    <w:rsid w:val="0097626E"/>
    <w:rsid w:val="00976CE7"/>
    <w:rsid w:val="00976EA3"/>
    <w:rsid w:val="00980AE8"/>
    <w:rsid w:val="00981086"/>
    <w:rsid w:val="00985EF5"/>
    <w:rsid w:val="00987725"/>
    <w:rsid w:val="009947CF"/>
    <w:rsid w:val="00994F55"/>
    <w:rsid w:val="0099533F"/>
    <w:rsid w:val="00995EE4"/>
    <w:rsid w:val="009972DC"/>
    <w:rsid w:val="009A027D"/>
    <w:rsid w:val="009A0B67"/>
    <w:rsid w:val="009A2EE2"/>
    <w:rsid w:val="009A5421"/>
    <w:rsid w:val="009A59E1"/>
    <w:rsid w:val="009A763C"/>
    <w:rsid w:val="009A77A9"/>
    <w:rsid w:val="009B10BD"/>
    <w:rsid w:val="009B1147"/>
    <w:rsid w:val="009B24CB"/>
    <w:rsid w:val="009B321D"/>
    <w:rsid w:val="009B43F1"/>
    <w:rsid w:val="009B56C4"/>
    <w:rsid w:val="009B6100"/>
    <w:rsid w:val="009B6FEE"/>
    <w:rsid w:val="009C3CDE"/>
    <w:rsid w:val="009C485A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4256"/>
    <w:rsid w:val="009E5C43"/>
    <w:rsid w:val="009E6529"/>
    <w:rsid w:val="009E6D28"/>
    <w:rsid w:val="009F0860"/>
    <w:rsid w:val="009F0BD9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940"/>
    <w:rsid w:val="00A12D27"/>
    <w:rsid w:val="00A13B2E"/>
    <w:rsid w:val="00A13D04"/>
    <w:rsid w:val="00A1548F"/>
    <w:rsid w:val="00A17702"/>
    <w:rsid w:val="00A21BF0"/>
    <w:rsid w:val="00A24591"/>
    <w:rsid w:val="00A25AED"/>
    <w:rsid w:val="00A26F41"/>
    <w:rsid w:val="00A27F71"/>
    <w:rsid w:val="00A3075A"/>
    <w:rsid w:val="00A311B1"/>
    <w:rsid w:val="00A3433B"/>
    <w:rsid w:val="00A343AE"/>
    <w:rsid w:val="00A34CB2"/>
    <w:rsid w:val="00A35061"/>
    <w:rsid w:val="00A35CA3"/>
    <w:rsid w:val="00A35F76"/>
    <w:rsid w:val="00A371E6"/>
    <w:rsid w:val="00A4026E"/>
    <w:rsid w:val="00A41755"/>
    <w:rsid w:val="00A41ACD"/>
    <w:rsid w:val="00A4554C"/>
    <w:rsid w:val="00A46A8B"/>
    <w:rsid w:val="00A46E1A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6C36"/>
    <w:rsid w:val="00A679FC"/>
    <w:rsid w:val="00A71B89"/>
    <w:rsid w:val="00A724D3"/>
    <w:rsid w:val="00A7254A"/>
    <w:rsid w:val="00A72F55"/>
    <w:rsid w:val="00A73A67"/>
    <w:rsid w:val="00A75465"/>
    <w:rsid w:val="00A80240"/>
    <w:rsid w:val="00A816F1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2B2"/>
    <w:rsid w:val="00AA67E3"/>
    <w:rsid w:val="00AA72B6"/>
    <w:rsid w:val="00AB1B10"/>
    <w:rsid w:val="00AB1C5F"/>
    <w:rsid w:val="00AB26FB"/>
    <w:rsid w:val="00AB393B"/>
    <w:rsid w:val="00AB605A"/>
    <w:rsid w:val="00AB6207"/>
    <w:rsid w:val="00AB71A1"/>
    <w:rsid w:val="00AB76A4"/>
    <w:rsid w:val="00AC2128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0EE"/>
    <w:rsid w:val="00AF06EB"/>
    <w:rsid w:val="00AF0CD0"/>
    <w:rsid w:val="00AF144B"/>
    <w:rsid w:val="00AF19E5"/>
    <w:rsid w:val="00AF27A3"/>
    <w:rsid w:val="00AF38AF"/>
    <w:rsid w:val="00AF6914"/>
    <w:rsid w:val="00B00DE6"/>
    <w:rsid w:val="00B019D6"/>
    <w:rsid w:val="00B053F9"/>
    <w:rsid w:val="00B10245"/>
    <w:rsid w:val="00B141EB"/>
    <w:rsid w:val="00B15C83"/>
    <w:rsid w:val="00B15CE4"/>
    <w:rsid w:val="00B16553"/>
    <w:rsid w:val="00B20152"/>
    <w:rsid w:val="00B205D3"/>
    <w:rsid w:val="00B20966"/>
    <w:rsid w:val="00B2107E"/>
    <w:rsid w:val="00B22D6C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47C"/>
    <w:rsid w:val="00B32F9F"/>
    <w:rsid w:val="00B336C9"/>
    <w:rsid w:val="00B3412A"/>
    <w:rsid w:val="00B3767C"/>
    <w:rsid w:val="00B379FA"/>
    <w:rsid w:val="00B37CD1"/>
    <w:rsid w:val="00B40D4D"/>
    <w:rsid w:val="00B40DE8"/>
    <w:rsid w:val="00B4495B"/>
    <w:rsid w:val="00B45F79"/>
    <w:rsid w:val="00B465BF"/>
    <w:rsid w:val="00B46B87"/>
    <w:rsid w:val="00B50050"/>
    <w:rsid w:val="00B503E9"/>
    <w:rsid w:val="00B5191D"/>
    <w:rsid w:val="00B52E8F"/>
    <w:rsid w:val="00B52F19"/>
    <w:rsid w:val="00B5382D"/>
    <w:rsid w:val="00B53C8C"/>
    <w:rsid w:val="00B53E68"/>
    <w:rsid w:val="00B541E1"/>
    <w:rsid w:val="00B54E26"/>
    <w:rsid w:val="00B56167"/>
    <w:rsid w:val="00B565D2"/>
    <w:rsid w:val="00B57015"/>
    <w:rsid w:val="00B61939"/>
    <w:rsid w:val="00B61EFC"/>
    <w:rsid w:val="00B65968"/>
    <w:rsid w:val="00B67170"/>
    <w:rsid w:val="00B6773F"/>
    <w:rsid w:val="00B711F8"/>
    <w:rsid w:val="00B71CDA"/>
    <w:rsid w:val="00B73647"/>
    <w:rsid w:val="00B73A0E"/>
    <w:rsid w:val="00B755F2"/>
    <w:rsid w:val="00B81393"/>
    <w:rsid w:val="00B81A48"/>
    <w:rsid w:val="00B81BEA"/>
    <w:rsid w:val="00B82ECE"/>
    <w:rsid w:val="00B83124"/>
    <w:rsid w:val="00B84AF9"/>
    <w:rsid w:val="00B84CDF"/>
    <w:rsid w:val="00B86621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731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0943"/>
    <w:rsid w:val="00BE2D66"/>
    <w:rsid w:val="00BE31A0"/>
    <w:rsid w:val="00BE66AB"/>
    <w:rsid w:val="00BE7529"/>
    <w:rsid w:val="00BE7532"/>
    <w:rsid w:val="00BF0116"/>
    <w:rsid w:val="00BF3C68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0C26"/>
    <w:rsid w:val="00C110A7"/>
    <w:rsid w:val="00C1261F"/>
    <w:rsid w:val="00C13ED8"/>
    <w:rsid w:val="00C148C6"/>
    <w:rsid w:val="00C149CF"/>
    <w:rsid w:val="00C150DA"/>
    <w:rsid w:val="00C153D2"/>
    <w:rsid w:val="00C16FFF"/>
    <w:rsid w:val="00C22307"/>
    <w:rsid w:val="00C22CC4"/>
    <w:rsid w:val="00C23690"/>
    <w:rsid w:val="00C26E5B"/>
    <w:rsid w:val="00C273D8"/>
    <w:rsid w:val="00C2782E"/>
    <w:rsid w:val="00C278DF"/>
    <w:rsid w:val="00C27997"/>
    <w:rsid w:val="00C27AC3"/>
    <w:rsid w:val="00C27F80"/>
    <w:rsid w:val="00C31AC8"/>
    <w:rsid w:val="00C335B0"/>
    <w:rsid w:val="00C335F8"/>
    <w:rsid w:val="00C34E0C"/>
    <w:rsid w:val="00C354EC"/>
    <w:rsid w:val="00C364C5"/>
    <w:rsid w:val="00C416D1"/>
    <w:rsid w:val="00C41D49"/>
    <w:rsid w:val="00C44121"/>
    <w:rsid w:val="00C452FB"/>
    <w:rsid w:val="00C461A1"/>
    <w:rsid w:val="00C52015"/>
    <w:rsid w:val="00C539A9"/>
    <w:rsid w:val="00C553AD"/>
    <w:rsid w:val="00C55E53"/>
    <w:rsid w:val="00C5703F"/>
    <w:rsid w:val="00C6061A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2B62"/>
    <w:rsid w:val="00C87A8D"/>
    <w:rsid w:val="00C905D1"/>
    <w:rsid w:val="00C9203A"/>
    <w:rsid w:val="00C92881"/>
    <w:rsid w:val="00C95B4C"/>
    <w:rsid w:val="00CA0F93"/>
    <w:rsid w:val="00CA1E32"/>
    <w:rsid w:val="00CA2BB7"/>
    <w:rsid w:val="00CA34A4"/>
    <w:rsid w:val="00CA3E2D"/>
    <w:rsid w:val="00CA5018"/>
    <w:rsid w:val="00CA7E99"/>
    <w:rsid w:val="00CB1D6E"/>
    <w:rsid w:val="00CB4A70"/>
    <w:rsid w:val="00CB6738"/>
    <w:rsid w:val="00CC4470"/>
    <w:rsid w:val="00CC50A1"/>
    <w:rsid w:val="00CC7B57"/>
    <w:rsid w:val="00CD0171"/>
    <w:rsid w:val="00CD19CB"/>
    <w:rsid w:val="00CD231C"/>
    <w:rsid w:val="00CD678D"/>
    <w:rsid w:val="00CD7100"/>
    <w:rsid w:val="00CE01BD"/>
    <w:rsid w:val="00CE03FD"/>
    <w:rsid w:val="00CE1BA1"/>
    <w:rsid w:val="00CE1FFA"/>
    <w:rsid w:val="00CE6437"/>
    <w:rsid w:val="00CE7EFE"/>
    <w:rsid w:val="00CF0128"/>
    <w:rsid w:val="00CF3AB5"/>
    <w:rsid w:val="00CF3D21"/>
    <w:rsid w:val="00CF4BD4"/>
    <w:rsid w:val="00CF5396"/>
    <w:rsid w:val="00CF5833"/>
    <w:rsid w:val="00CF7620"/>
    <w:rsid w:val="00CF7CCC"/>
    <w:rsid w:val="00D013FC"/>
    <w:rsid w:val="00D02B97"/>
    <w:rsid w:val="00D03D35"/>
    <w:rsid w:val="00D03D46"/>
    <w:rsid w:val="00D043A6"/>
    <w:rsid w:val="00D04456"/>
    <w:rsid w:val="00D046BD"/>
    <w:rsid w:val="00D114E1"/>
    <w:rsid w:val="00D12F90"/>
    <w:rsid w:val="00D16B3B"/>
    <w:rsid w:val="00D21095"/>
    <w:rsid w:val="00D21E26"/>
    <w:rsid w:val="00D235F7"/>
    <w:rsid w:val="00D30293"/>
    <w:rsid w:val="00D328C3"/>
    <w:rsid w:val="00D3528D"/>
    <w:rsid w:val="00D365FD"/>
    <w:rsid w:val="00D3740E"/>
    <w:rsid w:val="00D40F46"/>
    <w:rsid w:val="00D42087"/>
    <w:rsid w:val="00D42204"/>
    <w:rsid w:val="00D42C0E"/>
    <w:rsid w:val="00D441E0"/>
    <w:rsid w:val="00D4566D"/>
    <w:rsid w:val="00D50DED"/>
    <w:rsid w:val="00D516AF"/>
    <w:rsid w:val="00D52443"/>
    <w:rsid w:val="00D52ED6"/>
    <w:rsid w:val="00D53EC1"/>
    <w:rsid w:val="00D56D19"/>
    <w:rsid w:val="00D61645"/>
    <w:rsid w:val="00D61ABB"/>
    <w:rsid w:val="00D61B0B"/>
    <w:rsid w:val="00D62DCB"/>
    <w:rsid w:val="00D65DAC"/>
    <w:rsid w:val="00D70099"/>
    <w:rsid w:val="00D710F2"/>
    <w:rsid w:val="00D712C8"/>
    <w:rsid w:val="00D7531E"/>
    <w:rsid w:val="00D77F70"/>
    <w:rsid w:val="00D77F96"/>
    <w:rsid w:val="00D80E46"/>
    <w:rsid w:val="00D81E5C"/>
    <w:rsid w:val="00D8551C"/>
    <w:rsid w:val="00D906CC"/>
    <w:rsid w:val="00D90764"/>
    <w:rsid w:val="00D92519"/>
    <w:rsid w:val="00D92A53"/>
    <w:rsid w:val="00D93026"/>
    <w:rsid w:val="00D93218"/>
    <w:rsid w:val="00D963E4"/>
    <w:rsid w:val="00D967DD"/>
    <w:rsid w:val="00D96846"/>
    <w:rsid w:val="00DA0B70"/>
    <w:rsid w:val="00DA0F0D"/>
    <w:rsid w:val="00DA3DD0"/>
    <w:rsid w:val="00DA421B"/>
    <w:rsid w:val="00DA75E0"/>
    <w:rsid w:val="00DA76B3"/>
    <w:rsid w:val="00DB0B35"/>
    <w:rsid w:val="00DB0F7E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D538C"/>
    <w:rsid w:val="00DE0833"/>
    <w:rsid w:val="00DE0E2D"/>
    <w:rsid w:val="00DE10FA"/>
    <w:rsid w:val="00DE1419"/>
    <w:rsid w:val="00DE2647"/>
    <w:rsid w:val="00DE42B6"/>
    <w:rsid w:val="00DE42F9"/>
    <w:rsid w:val="00DE4CCF"/>
    <w:rsid w:val="00DE4D36"/>
    <w:rsid w:val="00DE630C"/>
    <w:rsid w:val="00DE6FAA"/>
    <w:rsid w:val="00DF0234"/>
    <w:rsid w:val="00DF07B8"/>
    <w:rsid w:val="00DF0ABC"/>
    <w:rsid w:val="00DF32B2"/>
    <w:rsid w:val="00DF36A6"/>
    <w:rsid w:val="00DF433A"/>
    <w:rsid w:val="00DF5A5D"/>
    <w:rsid w:val="00DF6BB5"/>
    <w:rsid w:val="00DF7432"/>
    <w:rsid w:val="00E002B1"/>
    <w:rsid w:val="00E0574E"/>
    <w:rsid w:val="00E0680D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5457"/>
    <w:rsid w:val="00E35CE4"/>
    <w:rsid w:val="00E3614A"/>
    <w:rsid w:val="00E37152"/>
    <w:rsid w:val="00E401B7"/>
    <w:rsid w:val="00E416A4"/>
    <w:rsid w:val="00E42292"/>
    <w:rsid w:val="00E42B5D"/>
    <w:rsid w:val="00E43AFE"/>
    <w:rsid w:val="00E43C4B"/>
    <w:rsid w:val="00E44C9B"/>
    <w:rsid w:val="00E52888"/>
    <w:rsid w:val="00E54C37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2CA1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B25"/>
    <w:rsid w:val="00EB2DF4"/>
    <w:rsid w:val="00EB3C15"/>
    <w:rsid w:val="00EB3DAD"/>
    <w:rsid w:val="00EB413A"/>
    <w:rsid w:val="00EB4DA6"/>
    <w:rsid w:val="00EB5062"/>
    <w:rsid w:val="00EB77FD"/>
    <w:rsid w:val="00EC1F48"/>
    <w:rsid w:val="00EC3401"/>
    <w:rsid w:val="00EC35E7"/>
    <w:rsid w:val="00EC503A"/>
    <w:rsid w:val="00EC57B8"/>
    <w:rsid w:val="00EC788F"/>
    <w:rsid w:val="00ED639C"/>
    <w:rsid w:val="00EE0FEF"/>
    <w:rsid w:val="00EE2006"/>
    <w:rsid w:val="00EE28F0"/>
    <w:rsid w:val="00EE3DBF"/>
    <w:rsid w:val="00EE7903"/>
    <w:rsid w:val="00EF15CC"/>
    <w:rsid w:val="00EF2C1B"/>
    <w:rsid w:val="00EF367A"/>
    <w:rsid w:val="00EF501F"/>
    <w:rsid w:val="00EF53A2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4D9"/>
    <w:rsid w:val="00F14A36"/>
    <w:rsid w:val="00F159D0"/>
    <w:rsid w:val="00F15A8A"/>
    <w:rsid w:val="00F15B6A"/>
    <w:rsid w:val="00F16577"/>
    <w:rsid w:val="00F172D2"/>
    <w:rsid w:val="00F17D68"/>
    <w:rsid w:val="00F17F63"/>
    <w:rsid w:val="00F2064B"/>
    <w:rsid w:val="00F21861"/>
    <w:rsid w:val="00F26EA7"/>
    <w:rsid w:val="00F2720B"/>
    <w:rsid w:val="00F27FAF"/>
    <w:rsid w:val="00F3178D"/>
    <w:rsid w:val="00F31BE1"/>
    <w:rsid w:val="00F32533"/>
    <w:rsid w:val="00F334C8"/>
    <w:rsid w:val="00F35B7C"/>
    <w:rsid w:val="00F36A04"/>
    <w:rsid w:val="00F36F96"/>
    <w:rsid w:val="00F406A6"/>
    <w:rsid w:val="00F41212"/>
    <w:rsid w:val="00F41DAB"/>
    <w:rsid w:val="00F434D6"/>
    <w:rsid w:val="00F45925"/>
    <w:rsid w:val="00F46C18"/>
    <w:rsid w:val="00F47A10"/>
    <w:rsid w:val="00F534CA"/>
    <w:rsid w:val="00F53E26"/>
    <w:rsid w:val="00F61F80"/>
    <w:rsid w:val="00F62262"/>
    <w:rsid w:val="00F63696"/>
    <w:rsid w:val="00F63892"/>
    <w:rsid w:val="00F63D79"/>
    <w:rsid w:val="00F65C83"/>
    <w:rsid w:val="00F66A5D"/>
    <w:rsid w:val="00F66A8E"/>
    <w:rsid w:val="00F70F29"/>
    <w:rsid w:val="00F7206C"/>
    <w:rsid w:val="00F72D8C"/>
    <w:rsid w:val="00F7501C"/>
    <w:rsid w:val="00F75C26"/>
    <w:rsid w:val="00F76392"/>
    <w:rsid w:val="00F8047D"/>
    <w:rsid w:val="00F82306"/>
    <w:rsid w:val="00F823D4"/>
    <w:rsid w:val="00F82563"/>
    <w:rsid w:val="00F8357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394"/>
    <w:rsid w:val="00FA150F"/>
    <w:rsid w:val="00FA633B"/>
    <w:rsid w:val="00FA673A"/>
    <w:rsid w:val="00FA6894"/>
    <w:rsid w:val="00FB2C8A"/>
    <w:rsid w:val="00FB6962"/>
    <w:rsid w:val="00FB6FB4"/>
    <w:rsid w:val="00FC0B2F"/>
    <w:rsid w:val="00FC0C79"/>
    <w:rsid w:val="00FC0CBA"/>
    <w:rsid w:val="00FC178C"/>
    <w:rsid w:val="00FC1E12"/>
    <w:rsid w:val="00FC3A4B"/>
    <w:rsid w:val="00FC4B06"/>
    <w:rsid w:val="00FC6C81"/>
    <w:rsid w:val="00FC7199"/>
    <w:rsid w:val="00FC777C"/>
    <w:rsid w:val="00FD17C8"/>
    <w:rsid w:val="00FD31BB"/>
    <w:rsid w:val="00FD64C5"/>
    <w:rsid w:val="00FE0456"/>
    <w:rsid w:val="00FE063B"/>
    <w:rsid w:val="00FE0717"/>
    <w:rsid w:val="00FE36A5"/>
    <w:rsid w:val="00FE470D"/>
    <w:rsid w:val="00FE582A"/>
    <w:rsid w:val="00FE6A7A"/>
    <w:rsid w:val="00FE6D68"/>
    <w:rsid w:val="00FE6E51"/>
    <w:rsid w:val="00FE7425"/>
    <w:rsid w:val="00FF032C"/>
    <w:rsid w:val="00FF0FA2"/>
    <w:rsid w:val="00FF114E"/>
    <w:rsid w:val="00FF166D"/>
    <w:rsid w:val="00FF2181"/>
    <w:rsid w:val="00FF438A"/>
    <w:rsid w:val="00FF6D5C"/>
    <w:rsid w:val="00FF71C7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582D0C-C8EF-49A8-B021-E0A38F4E7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1623</TotalTime>
  <Pages>7</Pages>
  <Words>139</Words>
  <Characters>796</Characters>
  <Application>Microsoft Office Word</Application>
  <DocSecurity>0</DocSecurity>
  <Lines>6</Lines>
  <Paragraphs>1</Paragraphs>
  <ScaleCrop>false</ScaleCrop>
  <Company>大中票券</Company>
  <LinksUpToDate>false</LinksUpToDate>
  <CharactersWithSpaces>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彭博系統</cp:lastModifiedBy>
  <cp:revision>66</cp:revision>
  <cp:lastPrinted>2016-11-21T06:17:00Z</cp:lastPrinted>
  <dcterms:created xsi:type="dcterms:W3CDTF">2017-07-31T01:55:00Z</dcterms:created>
  <dcterms:modified xsi:type="dcterms:W3CDTF">2018-01-29T02:33:00Z</dcterms:modified>
</cp:coreProperties>
</file>