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A66C36">
        <w:rPr>
          <w:rFonts w:ascii="標楷體" w:eastAsia="標楷體" w:hAnsi="標楷體" w:hint="eastAsia"/>
          <w:b/>
          <w:sz w:val="28"/>
          <w:szCs w:val="28"/>
        </w:rPr>
        <w:t>10/11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37D5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在區間高檔整理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主因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葉倫表示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在達成通膨目標前，採取漸進式加息是最合適的政策。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FED在12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月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升息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的機率增加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上週美國9月就業報告因颶風影響，減少3.3萬人，但美債利率未下跌，市場聚焦在工資成長。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美債利率上週五以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2.3589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%收盤。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CA2BB7">
        <w:rPr>
          <w:rFonts w:ascii="標楷體" w:eastAsia="標楷體" w:hAnsi="標楷體" w:cs="Arial" w:hint="eastAsia"/>
          <w:color w:val="000000"/>
          <w:kern w:val="0"/>
          <w:szCs w:val="24"/>
        </w:rPr>
        <w:t>此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期間因美債利率影響而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在相對高檔整理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，但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受到籌碼有限因素，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利率漲幅有限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739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1.04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E3A34" w:rsidRPr="008E3A34" w:rsidRDefault="00A66C36" w:rsidP="008E3A34">
      <w:pPr>
        <w:widowControl/>
        <w:rPr>
          <w:rFonts w:ascii="標楷體" w:eastAsia="標楷體" w:hAnsi="標楷體"/>
          <w:szCs w:val="24"/>
        </w:rPr>
      </w:pPr>
      <w:r w:rsidRPr="00A66C36">
        <w:rPr>
          <w:rFonts w:ascii="標楷體" w:eastAsia="標楷體" w:hAnsi="標楷體" w:hint="eastAsia"/>
          <w:szCs w:val="24"/>
        </w:rPr>
        <w:t>9月非農業就業人數</w:t>
      </w:r>
      <w:proofErr w:type="gramStart"/>
      <w:r w:rsidRPr="00A66C36">
        <w:rPr>
          <w:rFonts w:ascii="標楷體" w:eastAsia="標楷體" w:hAnsi="標楷體" w:hint="eastAsia"/>
          <w:szCs w:val="24"/>
        </w:rPr>
        <w:t>經季調後</w:t>
      </w:r>
      <w:proofErr w:type="gramEnd"/>
      <w:r w:rsidRPr="00A66C36">
        <w:rPr>
          <w:rFonts w:ascii="標楷體" w:eastAsia="標楷體" w:hAnsi="標楷體" w:hint="eastAsia"/>
          <w:szCs w:val="24"/>
        </w:rPr>
        <w:t>減少3.3萬人，為2010年來首見減少，中止連續83個月就業人數上升走勢。市場原先預期，就業人口可增加7.5</w:t>
      </w:r>
      <w:r>
        <w:rPr>
          <w:rFonts w:ascii="標楷體" w:eastAsia="標楷體" w:hAnsi="標楷體" w:hint="eastAsia"/>
          <w:szCs w:val="24"/>
        </w:rPr>
        <w:t>萬人</w:t>
      </w:r>
      <w:r w:rsidR="00870C67" w:rsidRPr="00870C67">
        <w:rPr>
          <w:rFonts w:ascii="標楷體" w:eastAsia="標楷體" w:hAnsi="標楷體" w:hint="eastAsia"/>
          <w:szCs w:val="24"/>
        </w:rPr>
        <w:t>。</w:t>
      </w:r>
      <w:r w:rsidR="0014095A" w:rsidRPr="0014095A">
        <w:rPr>
          <w:rFonts w:ascii="標楷體" w:eastAsia="標楷體" w:hAnsi="標楷體" w:hint="eastAsia"/>
          <w:szCs w:val="24"/>
        </w:rPr>
        <w:t>但9月失業率仍然從8月的4.4</w:t>
      </w:r>
      <w:r w:rsidR="0014095A">
        <w:rPr>
          <w:rFonts w:ascii="標楷體" w:eastAsia="標楷體" w:hAnsi="標楷體" w:hint="eastAsia"/>
          <w:szCs w:val="24"/>
        </w:rPr>
        <w:t>%</w:t>
      </w:r>
      <w:r w:rsidR="0014095A" w:rsidRPr="0014095A">
        <w:rPr>
          <w:rFonts w:ascii="標楷體" w:eastAsia="標楷體" w:hAnsi="標楷體" w:hint="eastAsia"/>
          <w:szCs w:val="24"/>
        </w:rPr>
        <w:t>下降至4.2</w:t>
      </w:r>
      <w:r w:rsidR="0014095A">
        <w:rPr>
          <w:rFonts w:ascii="標楷體" w:eastAsia="標楷體" w:hAnsi="標楷體" w:hint="eastAsia"/>
          <w:szCs w:val="24"/>
        </w:rPr>
        <w:t>%</w:t>
      </w:r>
      <w:r w:rsidR="0014095A" w:rsidRPr="0014095A">
        <w:rPr>
          <w:rFonts w:ascii="標楷體" w:eastAsia="標楷體" w:hAnsi="標楷體" w:hint="eastAsia"/>
          <w:szCs w:val="24"/>
        </w:rPr>
        <w:t>，創2000年12月來新低，不受颶風因素影響。</w:t>
      </w:r>
      <w:r w:rsidR="0014095A">
        <w:rPr>
          <w:rFonts w:ascii="標楷體" w:eastAsia="標楷體" w:hAnsi="標楷體" w:hint="eastAsia"/>
          <w:szCs w:val="24"/>
        </w:rPr>
        <w:t>9</w:t>
      </w:r>
      <w:r w:rsidR="0014095A" w:rsidRPr="0014095A">
        <w:rPr>
          <w:rFonts w:ascii="標楷體" w:eastAsia="標楷體" w:hAnsi="標楷體" w:hint="eastAsia"/>
          <w:szCs w:val="24"/>
        </w:rPr>
        <w:t>月平均</w:t>
      </w:r>
      <w:proofErr w:type="gramStart"/>
      <w:r w:rsidR="0014095A" w:rsidRPr="0014095A">
        <w:rPr>
          <w:rFonts w:ascii="標楷體" w:eastAsia="標楷體" w:hAnsi="標楷體" w:hint="eastAsia"/>
          <w:szCs w:val="24"/>
        </w:rPr>
        <w:t>時薪月增</w:t>
      </w:r>
      <w:proofErr w:type="gramEnd"/>
      <w:r w:rsidR="0014095A" w:rsidRPr="0014095A">
        <w:rPr>
          <w:rFonts w:ascii="標楷體" w:eastAsia="標楷體" w:hAnsi="標楷體" w:hint="eastAsia"/>
          <w:szCs w:val="24"/>
        </w:rPr>
        <w:t>0.5</w:t>
      </w:r>
      <w:r w:rsidR="0014095A">
        <w:rPr>
          <w:rFonts w:ascii="標楷體" w:eastAsia="標楷體" w:hAnsi="標楷體" w:hint="eastAsia"/>
          <w:szCs w:val="24"/>
        </w:rPr>
        <w:t>%</w:t>
      </w:r>
      <w:r w:rsidR="0014095A" w:rsidRPr="0014095A">
        <w:rPr>
          <w:rFonts w:ascii="標楷體" w:eastAsia="標楷體" w:hAnsi="標楷體" w:hint="eastAsia"/>
          <w:szCs w:val="24"/>
        </w:rPr>
        <w:t>至26.55美元，高於市場預估的月增0.3</w:t>
      </w:r>
      <w:r w:rsidR="0014095A">
        <w:rPr>
          <w:rFonts w:ascii="標楷體" w:eastAsia="標楷體" w:hAnsi="標楷體" w:hint="eastAsia"/>
          <w:szCs w:val="24"/>
        </w:rPr>
        <w:t>%</w:t>
      </w:r>
      <w:r w:rsidR="0014095A" w:rsidRPr="0014095A">
        <w:rPr>
          <w:rFonts w:ascii="標楷體" w:eastAsia="標楷體" w:hAnsi="標楷體" w:hint="eastAsia"/>
          <w:szCs w:val="24"/>
        </w:rPr>
        <w:t>，較去年同期則增加2.9</w:t>
      </w:r>
      <w:r w:rsidR="0014095A">
        <w:rPr>
          <w:rFonts w:ascii="標楷體" w:eastAsia="標楷體" w:hAnsi="標楷體" w:hint="eastAsia"/>
          <w:szCs w:val="24"/>
        </w:rPr>
        <w:t>%</w:t>
      </w:r>
      <w:r w:rsidR="0014095A" w:rsidRPr="0014095A">
        <w:rPr>
          <w:rFonts w:ascii="標楷體" w:eastAsia="標楷體" w:hAnsi="標楷體" w:hint="eastAsia"/>
          <w:szCs w:val="24"/>
        </w:rPr>
        <w:t>，逼近經濟學家樂見的3</w:t>
      </w:r>
      <w:r w:rsidR="0014095A">
        <w:rPr>
          <w:rFonts w:ascii="標楷體" w:eastAsia="標楷體" w:hAnsi="標楷體" w:hint="eastAsia"/>
          <w:szCs w:val="24"/>
        </w:rPr>
        <w:t>%</w:t>
      </w:r>
      <w:r w:rsidR="0014095A" w:rsidRPr="0014095A">
        <w:rPr>
          <w:rFonts w:ascii="標楷體" w:eastAsia="標楷體" w:hAnsi="標楷體" w:hint="eastAsia"/>
          <w:szCs w:val="24"/>
        </w:rPr>
        <w:t>水準</w:t>
      </w:r>
      <w:r w:rsidR="0014095A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887E81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571875"/>
            <wp:effectExtent l="0" t="0" r="0" b="0"/>
            <wp:docPr id="1" name="圖片 1" descr="C:\Users\BLOOMB~1\AppData\Local\Temp\Bloomberg\temp\bfm34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341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887E81" w:rsidRDefault="00887E81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181475"/>
            <wp:effectExtent l="0" t="0" r="0" b="0"/>
            <wp:docPr id="2" name="圖片 2" descr="C:\Users\BLOOMB~1\AppData\Local\Temp\Bloomberg\temp\bfmB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BE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887E8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29050"/>
            <wp:effectExtent l="0" t="0" r="0" b="0"/>
            <wp:docPr id="3" name="圖片 3" descr="C:\Users\BLOOMB~1\AppData\Local\Temp\Bloomberg\temp\bfm38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38D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887E8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00525"/>
            <wp:effectExtent l="0" t="0" r="0" b="0"/>
            <wp:docPr id="4" name="圖片 4" descr="C:\Users\BLOOMB~1\AppData\Local\Temp\Bloomberg\temp\bfm42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420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887E81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00475"/>
            <wp:effectExtent l="0" t="0" r="0" b="0"/>
            <wp:docPr id="5" name="圖片 5" descr="C:\Users\BLOOMB~1\AppData\Local\Temp\Bloomberg\temp\bfm18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18D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0C2DA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C2DAA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0C2DAA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985EF5" w:rsidRDefault="000C2DA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33850"/>
            <wp:effectExtent l="0" t="0" r="0" b="0"/>
            <wp:docPr id="6" name="圖片 6" descr="C:\Users\BLOOMB~1\AppData\Local\Temp\Bloomberg\temp\bfmF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F4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0C2DA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C2DAA">
        <w:rPr>
          <w:rFonts w:ascii="標楷體" w:eastAsia="標楷體" w:hAnsi="標楷體" w:hint="eastAsia"/>
          <w:b/>
          <w:sz w:val="26"/>
          <w:szCs w:val="26"/>
        </w:rPr>
        <w:t>供應管理協會-非製造業-非製造業指數(</w:t>
      </w:r>
      <w:proofErr w:type="gramStart"/>
      <w:r w:rsidRPr="000C2DAA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0C2DAA">
        <w:rPr>
          <w:rFonts w:ascii="標楷體" w:eastAsia="標楷體" w:hAnsi="標楷體" w:hint="eastAsia"/>
          <w:b/>
          <w:sz w:val="26"/>
          <w:szCs w:val="26"/>
        </w:rPr>
        <w:t>)</w:t>
      </w:r>
    </w:p>
    <w:p w:rsidR="001F2D16" w:rsidRPr="00527155" w:rsidRDefault="000C2DA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543300"/>
            <wp:effectExtent l="0" t="0" r="0" b="0"/>
            <wp:docPr id="7" name="圖片 7" descr="C:\Users\BLOOMB~1\AppData\Local\Temp\Bloomberg\temp\bfm4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48F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0C2DA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0C2DAA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0C2DAA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0C2DAA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0C2DA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05250"/>
            <wp:effectExtent l="0" t="0" r="0" b="0"/>
            <wp:docPr id="8" name="圖片 8" descr="C:\Users\BLOOMB~1\AppData\Local\Temp\Bloomberg\temp\bfmC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33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0C2DA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95750"/>
            <wp:effectExtent l="0" t="0" r="0" b="0"/>
            <wp:docPr id="9" name="圖片 9" descr="C:\Users\BLOOMB~1\AppData\Local\Temp\Bloomberg\temp\bfmA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A7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FE582A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8630" w:dyaOrig="8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438pt" o:ole="">
            <v:imagedata r:id="rId18" o:title=""/>
          </v:shape>
          <o:OLEObject Type="Embed" ProgID="Excel.Sheet.12" ShapeID="_x0000_i1025" DrawAspect="Content" ObjectID="_1569243125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向上突破200日MA後，偏向整理，2.40%主要關卡有支撐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加以人民幣再度升值，美債利率可能盤跌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追隨美債利率上漲，但是漲幅有限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目前在季線附近整理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台灣9月出口數據，美國9月CPI、10月密大消費信心，德國9月CPI等</w:t>
      </w:r>
      <w:r w:rsidR="00C82B62">
        <w:rPr>
          <w:rFonts w:ascii="標楷體" w:eastAsia="標楷體" w:hAnsi="標楷體" w:cs="Arial" w:hint="eastAsia"/>
          <w:color w:val="000000"/>
          <w:kern w:val="0"/>
        </w:rPr>
        <w:t>。</w:t>
      </w:r>
      <w:r w:rsidR="0083132D">
        <w:rPr>
          <w:rFonts w:ascii="標楷體" w:eastAsia="標楷體" w:hAnsi="標楷體" w:cs="Arial" w:hint="eastAsia"/>
          <w:color w:val="000000"/>
          <w:kern w:val="0"/>
        </w:rPr>
        <w:t>預估</w:t>
      </w:r>
      <w:r w:rsidR="00CA2BB7">
        <w:rPr>
          <w:rFonts w:ascii="標楷體" w:eastAsia="標楷體" w:hAnsi="標楷體" w:cs="Arial" w:hint="eastAsia"/>
          <w:color w:val="000000"/>
          <w:kern w:val="0"/>
        </w:rPr>
        <w:t>數據</w:t>
      </w:r>
      <w:r w:rsidR="00044874">
        <w:rPr>
          <w:rFonts w:ascii="標楷體" w:eastAsia="標楷體" w:hAnsi="標楷體" w:cs="Arial" w:hint="eastAsia"/>
          <w:color w:val="000000"/>
          <w:kern w:val="0"/>
        </w:rPr>
        <w:t>多在預期內</w:t>
      </w:r>
      <w:r w:rsidR="00CA2BB7">
        <w:rPr>
          <w:rFonts w:ascii="標楷體" w:eastAsia="標楷體" w:hAnsi="標楷體" w:cs="Arial" w:hint="eastAsia"/>
          <w:color w:val="000000"/>
          <w:kern w:val="0"/>
        </w:rPr>
        <w:t>。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籌碼方面，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新五年券</w:t>
      </w:r>
      <w:proofErr w:type="gramEnd"/>
      <w:r w:rsidR="00044874">
        <w:rPr>
          <w:rFonts w:ascii="標楷體" w:eastAsia="標楷體" w:hAnsi="標楷體" w:cs="Arial" w:hint="eastAsia"/>
          <w:color w:val="000000"/>
          <w:kern w:val="0"/>
        </w:rPr>
        <w:t>A06110即將標售，隔週會有10年</w:t>
      </w:r>
      <w:proofErr w:type="gramStart"/>
      <w:r w:rsidR="00044874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044874">
        <w:rPr>
          <w:rFonts w:ascii="標楷體" w:eastAsia="標楷體" w:hAnsi="標楷體" w:cs="Arial" w:hint="eastAsia"/>
          <w:color w:val="000000"/>
          <w:kern w:val="0"/>
        </w:rPr>
        <w:t>的增額發行前交易上場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7252DE">
        <w:rPr>
          <w:rFonts w:ascii="標楷體" w:eastAsia="標楷體" w:hAnsi="標楷體" w:cs="Arial" w:hint="eastAsia"/>
          <w:color w:val="000000"/>
          <w:kern w:val="0"/>
        </w:rPr>
        <w:t>市場預期明年央行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最快也要到第三季才有升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息的機會，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但近期受到美債利率上漲影響，台債利率有補漲的空間，但是利率逢高仍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是買點</w:t>
      </w:r>
      <w:r w:rsidR="00DF5A5D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整數支撐</w:t>
      </w:r>
      <w:r w:rsidR="00044874">
        <w:rPr>
          <w:rFonts w:ascii="標楷體" w:eastAsia="標楷體" w:hAnsi="標楷體" w:cs="Arial" w:hint="eastAsia"/>
          <w:color w:val="000000"/>
          <w:kern w:val="0"/>
        </w:rPr>
        <w:t>上調</w:t>
      </w:r>
      <w:r w:rsidR="007252DE">
        <w:rPr>
          <w:rFonts w:ascii="標楷體" w:eastAsia="標楷體" w:hAnsi="標楷體" w:cs="Arial" w:hint="eastAsia"/>
          <w:color w:val="000000"/>
          <w:kern w:val="0"/>
        </w:rPr>
        <w:t>至</w:t>
      </w:r>
      <w:r w:rsidR="00044874">
        <w:rPr>
          <w:rFonts w:ascii="標楷體" w:eastAsia="標楷體" w:hAnsi="標楷體" w:cs="Arial" w:hint="eastAsia"/>
          <w:color w:val="000000"/>
          <w:kern w:val="0"/>
        </w:rPr>
        <w:t>2.4</w:t>
      </w:r>
      <w:r w:rsidR="007252DE">
        <w:rPr>
          <w:rFonts w:ascii="標楷體" w:eastAsia="標楷體" w:hAnsi="標楷體" w:cs="Arial" w:hint="eastAsia"/>
          <w:color w:val="000000"/>
          <w:kern w:val="0"/>
        </w:rPr>
        <w:t>0%</w:t>
      </w:r>
      <w:r w:rsidR="00CA2BB7">
        <w:rPr>
          <w:rFonts w:ascii="標楷體" w:eastAsia="標楷體" w:hAnsi="標楷體" w:cs="Arial" w:hint="eastAsia"/>
          <w:color w:val="000000"/>
          <w:kern w:val="0"/>
        </w:rPr>
        <w:t>，地緣政治風險的影響變小，但注意人民幣</w:t>
      </w:r>
      <w:proofErr w:type="gramStart"/>
      <w:r w:rsidR="00CA2BB7">
        <w:rPr>
          <w:rFonts w:ascii="標楷體" w:eastAsia="標楷體" w:hAnsi="標楷體" w:cs="Arial" w:hint="eastAsia"/>
          <w:color w:val="000000"/>
          <w:kern w:val="0"/>
        </w:rPr>
        <w:t>匯</w:t>
      </w:r>
      <w:proofErr w:type="gramEnd"/>
      <w:r w:rsidR="00CA2BB7">
        <w:rPr>
          <w:rFonts w:ascii="標楷體" w:eastAsia="標楷體" w:hAnsi="標楷體" w:cs="Arial" w:hint="eastAsia"/>
          <w:color w:val="000000"/>
          <w:kern w:val="0"/>
        </w:rPr>
        <w:t>價與美債利率走勢的相關性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仍要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注意10月美國</w:t>
      </w:r>
      <w:r w:rsidR="00044874">
        <w:rPr>
          <w:rFonts w:ascii="標楷體" w:eastAsia="標楷體" w:hAnsi="標楷體" w:cs="Arial" w:hint="eastAsia"/>
          <w:color w:val="000000"/>
          <w:kern w:val="0"/>
        </w:rPr>
        <w:t>啟動</w:t>
      </w:r>
      <w:r w:rsidR="007252DE">
        <w:rPr>
          <w:rFonts w:ascii="標楷體" w:eastAsia="標楷體" w:hAnsi="標楷體" w:cs="Arial" w:hint="eastAsia"/>
          <w:color w:val="000000"/>
          <w:kern w:val="0"/>
        </w:rPr>
        <w:t>縮表的影響，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</w:t>
      </w:r>
      <w:bookmarkStart w:id="0" w:name="_GoBack"/>
      <w:bookmarkEnd w:id="0"/>
      <w:r w:rsidR="00D61B0B">
        <w:rPr>
          <w:rFonts w:ascii="標楷體" w:eastAsia="標楷體" w:hAnsi="標楷體" w:cs="Arial" w:hint="eastAsia"/>
          <w:color w:val="000000"/>
          <w:kern w:val="0"/>
        </w:rPr>
        <w:t>債10年期利率約為</w:t>
      </w:r>
      <w:r w:rsidR="007252DE">
        <w:rPr>
          <w:rFonts w:ascii="標楷體" w:eastAsia="標楷體" w:hAnsi="標楷體" w:cs="Arial" w:hint="eastAsia"/>
          <w:color w:val="000000"/>
          <w:kern w:val="0"/>
        </w:rPr>
        <w:t>1.0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044874">
        <w:rPr>
          <w:rFonts w:ascii="標楷體" w:eastAsia="標楷體" w:hAnsi="標楷體" w:cs="Arial" w:hint="eastAsia"/>
          <w:color w:val="000000"/>
          <w:kern w:val="0"/>
        </w:rPr>
        <w:t>1.09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32D" w:rsidRPr="0083132D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010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2015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63B"/>
    <w:rsid w:val="00FE0717"/>
    <w:rsid w:val="00FE36A5"/>
    <w:rsid w:val="00FE582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10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BAFF5-7F0B-4261-BD82-65DDEB00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6</Pages>
  <Words>155</Words>
  <Characters>888</Characters>
  <Application>Microsoft Office Word</Application>
  <DocSecurity>0</DocSecurity>
  <Lines>7</Lines>
  <Paragraphs>2</Paragraphs>
  <ScaleCrop>false</ScaleCrop>
  <Company>大中票券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29</cp:revision>
  <cp:lastPrinted>2016-11-21T06:17:00Z</cp:lastPrinted>
  <dcterms:created xsi:type="dcterms:W3CDTF">2017-07-31T01:55:00Z</dcterms:created>
  <dcterms:modified xsi:type="dcterms:W3CDTF">2017-10-11T08:06:00Z</dcterms:modified>
</cp:coreProperties>
</file>