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143185">
        <w:rPr>
          <w:rFonts w:ascii="標楷體" w:eastAsia="標楷體" w:hAnsi="標楷體" w:hint="eastAsia"/>
          <w:b/>
          <w:sz w:val="28"/>
          <w:szCs w:val="28"/>
        </w:rPr>
        <w:t>07/31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37D5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處於</w:t>
      </w:r>
      <w:r w:rsidR="000A486B">
        <w:rPr>
          <w:rFonts w:ascii="標楷體" w:eastAsia="標楷體" w:hAnsi="標楷體" w:cs="Arial" w:hint="eastAsia"/>
          <w:color w:val="000000"/>
          <w:kern w:val="0"/>
          <w:szCs w:val="24"/>
        </w:rPr>
        <w:t>偏低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0A486B">
        <w:rPr>
          <w:rFonts w:ascii="標楷體" w:eastAsia="標楷體" w:hAnsi="標楷體" w:cs="Arial" w:hint="eastAsia"/>
          <w:color w:val="000000"/>
          <w:kern w:val="0"/>
          <w:szCs w:val="24"/>
        </w:rPr>
        <w:t>格局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，主要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來自於</w:t>
      </w:r>
      <w:r w:rsidR="000A486B">
        <w:rPr>
          <w:rFonts w:ascii="標楷體" w:eastAsia="標楷體" w:hAnsi="標楷體" w:cs="Arial" w:hint="eastAsia"/>
          <w:color w:val="000000"/>
          <w:kern w:val="0"/>
          <w:szCs w:val="24"/>
        </w:rPr>
        <w:t>對美國通膨預期的消退，第三次升息的機率降低</w:t>
      </w:r>
      <w:r w:rsidR="000C4024">
        <w:rPr>
          <w:rFonts w:ascii="標楷體" w:eastAsia="標楷體" w:hAnsi="標楷體" w:cs="Arial" w:hint="eastAsia"/>
          <w:color w:val="000000"/>
          <w:kern w:val="0"/>
          <w:szCs w:val="24"/>
        </w:rPr>
        <w:t>；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最新</w:t>
      </w:r>
      <w:r w:rsidR="000A486B">
        <w:rPr>
          <w:rFonts w:ascii="標楷體" w:eastAsia="標楷體" w:hAnsi="標楷體" w:cs="Arial" w:hint="eastAsia"/>
          <w:color w:val="000000"/>
          <w:kern w:val="0"/>
          <w:szCs w:val="24"/>
        </w:rPr>
        <w:t>FOMC會後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聲明，暗示九月有</w:t>
      </w:r>
      <w:proofErr w:type="gramStart"/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機會縮表</w:t>
      </w:r>
      <w:proofErr w:type="gramEnd"/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，但是市場對此無反應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受到籌碼有限因素，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以及Q2的GDP數據欠佳，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多頭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仍掌握盤勢</w:t>
      </w:r>
      <w:r w:rsidR="00DF023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利率跌回1.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05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%下方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。上周末收盤，5年期利率收在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0.7329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1.0410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15A6D" w:rsidRDefault="00363948" w:rsidP="00715A6D">
      <w:pPr>
        <w:widowControl/>
        <w:rPr>
          <w:rFonts w:ascii="標楷體" w:eastAsia="標楷體" w:hAnsi="標楷體"/>
          <w:szCs w:val="24"/>
        </w:rPr>
      </w:pPr>
      <w:r w:rsidRPr="00363948">
        <w:rPr>
          <w:rFonts w:ascii="標楷體" w:eastAsia="標楷體" w:hAnsi="標楷體" w:hint="eastAsia"/>
          <w:szCs w:val="24"/>
        </w:rPr>
        <w:t>美國商務部29日公布今年第1季國內生產毛額（GDP）終值，上修今年首季經濟成長率，從原估的1.2％調整至1.4％，主要因消費支出意外增加，出口大幅增長。</w:t>
      </w:r>
    </w:p>
    <w:p w:rsidR="00363948" w:rsidRPr="00715A6D" w:rsidRDefault="000C4024" w:rsidP="00715A6D">
      <w:pPr>
        <w:widowControl/>
        <w:rPr>
          <w:rFonts w:ascii="標楷體" w:eastAsia="標楷體" w:hAnsi="標楷體"/>
          <w:szCs w:val="24"/>
        </w:rPr>
      </w:pPr>
      <w:r w:rsidRPr="000C4024">
        <w:rPr>
          <w:rFonts w:ascii="標楷體" w:eastAsia="標楷體" w:hAnsi="標楷體" w:hint="eastAsia"/>
          <w:szCs w:val="24"/>
        </w:rPr>
        <w:t>看</w:t>
      </w:r>
      <w:proofErr w:type="gramStart"/>
      <w:r w:rsidRPr="000C4024">
        <w:rPr>
          <w:rFonts w:ascii="標楷體" w:eastAsia="標楷體" w:hAnsi="標楷體" w:hint="eastAsia"/>
          <w:szCs w:val="24"/>
        </w:rPr>
        <w:t>準</w:t>
      </w:r>
      <w:proofErr w:type="gramEnd"/>
      <w:r w:rsidRPr="000C4024">
        <w:rPr>
          <w:rFonts w:ascii="標楷體" w:eastAsia="標楷體" w:hAnsi="標楷體" w:hint="eastAsia"/>
          <w:szCs w:val="24"/>
        </w:rPr>
        <w:t>台灣利率低、游資過剩，外資自下半年以來陸續登台發債，包括墨西哥國家電力、法國東方匯理銀行、韓國輸出入銀行、花旗集團與摩根大通等，先後在台發行國際板美元債籌資，籌資規模合計約新台幣500億元。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371F20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48100"/>
            <wp:effectExtent l="0" t="0" r="0" b="0"/>
            <wp:docPr id="1" name="圖片 1" descr="C:\Users\BLOOMB~1\AppData\Local\Temp\Bloomberg\temp\bfm49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490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7C52F8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38600"/>
            <wp:effectExtent l="0" t="0" r="0" b="0"/>
            <wp:docPr id="2" name="圖片 2" descr="C:\Users\BLOOMB~1\AppData\Local\Temp\Bloomberg\temp\bfmE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EF0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00500"/>
            <wp:effectExtent l="0" t="0" r="0" b="0"/>
            <wp:docPr id="3" name="圖片 3" descr="C:\Users\BLOOMB~1\AppData\Local\Temp\Bloomberg\temp\bfm8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80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76725"/>
            <wp:effectExtent l="0" t="0" r="0" b="0"/>
            <wp:docPr id="4" name="圖片 4" descr="C:\Users\BLOOMB~1\AppData\Local\Temp\Bloomberg\temp\bfm2B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2B6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371F20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48100"/>
            <wp:effectExtent l="0" t="0" r="0" b="0"/>
            <wp:docPr id="5" name="圖片 5" descr="C:\Users\BLOOMB~1\AppData\Local\Temp\Bloomberg\temp\bfm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4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71F20">
        <w:rPr>
          <w:rFonts w:ascii="標楷體" w:eastAsia="標楷體" w:hAnsi="標楷體" w:hint="eastAsia"/>
          <w:b/>
          <w:sz w:val="26"/>
          <w:szCs w:val="26"/>
        </w:rPr>
        <w:t xml:space="preserve">台灣失業率 </w:t>
      </w:r>
      <w:proofErr w:type="gramStart"/>
      <w:r w:rsidRPr="00371F20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985EF5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14800"/>
            <wp:effectExtent l="0" t="0" r="0" b="0"/>
            <wp:docPr id="6" name="圖片 6" descr="C:\Users\BLOOMB~1\AppData\Local\Temp\Bloomberg\temp\bfm1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16E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71F20">
        <w:rPr>
          <w:rFonts w:ascii="標楷體" w:eastAsia="標楷體" w:hAnsi="標楷體" w:hint="eastAsia"/>
          <w:b/>
          <w:sz w:val="26"/>
          <w:szCs w:val="26"/>
        </w:rPr>
        <w:t xml:space="preserve">美國成屋銷售 </w:t>
      </w:r>
      <w:proofErr w:type="gramStart"/>
      <w:r w:rsidRPr="00371F20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67150"/>
            <wp:effectExtent l="0" t="0" r="0" b="0"/>
            <wp:docPr id="7" name="圖片 7" descr="C:\Users\BLOOMB~1\AppData\Local\Temp\Bloomberg\temp\bfm50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503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71F20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美國新屋銷售單戶住宅 </w:t>
      </w:r>
      <w:proofErr w:type="gramStart"/>
      <w:r w:rsidRPr="00371F20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314825"/>
            <wp:effectExtent l="0" t="0" r="0" b="0"/>
            <wp:docPr id="8" name="圖片 8" descr="C:\Users\BLOOMB~1\AppData\Local\Temp\Bloomberg\temp\bfmD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DCE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05225"/>
            <wp:effectExtent l="0" t="0" r="0" b="0"/>
            <wp:docPr id="9" name="圖片 9" descr="C:\Users\BLOOMB~1\AppData\Local\Temp\Bloomberg\temp\bfmC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CDD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0C4024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563.25pt">
            <v:imagedata r:id="rId18" o:title=""/>
          </v:shape>
        </w:pi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363948">
        <w:rPr>
          <w:rFonts w:ascii="標楷體" w:eastAsia="標楷體" w:hAnsi="標楷體" w:cs="Arial" w:hint="eastAsia"/>
          <w:color w:val="000000"/>
          <w:kern w:val="0"/>
          <w:szCs w:val="24"/>
        </w:rPr>
        <w:t>跌回</w:t>
      </w:r>
      <w:proofErr w:type="gramStart"/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200日均線</w:t>
      </w:r>
      <w:r w:rsidR="00363948">
        <w:rPr>
          <w:rFonts w:ascii="標楷體" w:eastAsia="標楷體" w:hAnsi="標楷體" w:cs="Arial" w:hint="eastAsia"/>
          <w:color w:val="000000"/>
          <w:kern w:val="0"/>
          <w:szCs w:val="24"/>
        </w:rPr>
        <w:t>下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方</w:t>
      </w:r>
      <w:proofErr w:type="gramEnd"/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63948">
        <w:rPr>
          <w:rFonts w:ascii="標楷體" w:eastAsia="標楷體" w:hAnsi="標楷體" w:cs="Arial" w:hint="eastAsia"/>
          <w:color w:val="000000"/>
          <w:kern w:val="0"/>
          <w:szCs w:val="24"/>
        </w:rPr>
        <w:t>缺乏上漲因素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短線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支撐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下移至1.08%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，利率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低檔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6B6E4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0E24F2">
        <w:rPr>
          <w:rFonts w:ascii="標楷體" w:eastAsia="標楷體" w:hAnsi="標楷體" w:cs="Arial" w:hint="eastAsia"/>
          <w:color w:val="000000"/>
          <w:kern w:val="0"/>
        </w:rPr>
        <w:t>中國的製造業與</w:t>
      </w:r>
      <w:r w:rsidR="005334EB">
        <w:rPr>
          <w:rFonts w:ascii="標楷體" w:eastAsia="標楷體" w:hAnsi="標楷體" w:cs="Arial" w:hint="eastAsia"/>
          <w:color w:val="000000"/>
          <w:kern w:val="0"/>
        </w:rPr>
        <w:t>非製造業PMI，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美</w:t>
      </w:r>
      <w:bookmarkStart w:id="0" w:name="_GoBack"/>
      <w:bookmarkEnd w:id="0"/>
      <w:r w:rsidR="00A26F41">
        <w:rPr>
          <w:rFonts w:ascii="標楷體" w:eastAsia="標楷體" w:hAnsi="標楷體" w:cs="Arial" w:hint="eastAsia"/>
          <w:color w:val="000000"/>
          <w:kern w:val="0"/>
        </w:rPr>
        <w:t>國</w:t>
      </w:r>
      <w:r w:rsidR="005334EB">
        <w:rPr>
          <w:rFonts w:ascii="標楷體" w:eastAsia="標楷體" w:hAnsi="標楷體" w:cs="Arial" w:hint="eastAsia"/>
          <w:color w:val="000000"/>
          <w:kern w:val="0"/>
        </w:rPr>
        <w:t>6</w:t>
      </w:r>
      <w:r w:rsidR="00D70099">
        <w:rPr>
          <w:rFonts w:ascii="標楷體" w:eastAsia="標楷體" w:hAnsi="標楷體" w:cs="Arial" w:hint="eastAsia"/>
          <w:color w:val="000000"/>
          <w:kern w:val="0"/>
        </w:rPr>
        <w:t>月份</w:t>
      </w:r>
      <w:r w:rsidR="005334EB">
        <w:rPr>
          <w:rFonts w:ascii="標楷體" w:eastAsia="標楷體" w:hAnsi="標楷體" w:cs="Arial" w:hint="eastAsia"/>
          <w:color w:val="000000"/>
          <w:kern w:val="0"/>
        </w:rPr>
        <w:t>成屋待完成銷售</w:t>
      </w:r>
      <w:r w:rsidR="00D21E26">
        <w:rPr>
          <w:rFonts w:ascii="標楷體" w:eastAsia="標楷體" w:hAnsi="標楷體" w:cs="Arial" w:hint="eastAsia"/>
          <w:color w:val="000000"/>
          <w:kern w:val="0"/>
        </w:rPr>
        <w:t>、</w:t>
      </w:r>
      <w:r w:rsidR="005334EB">
        <w:rPr>
          <w:rFonts w:ascii="標楷體" w:eastAsia="標楷體" w:hAnsi="標楷體" w:cs="Arial" w:hint="eastAsia"/>
          <w:color w:val="000000"/>
          <w:kern w:val="0"/>
        </w:rPr>
        <w:t>7月ISM製造業指數、7月就業報告</w:t>
      </w:r>
      <w:r w:rsidR="00A26F41">
        <w:rPr>
          <w:rFonts w:ascii="標楷體" w:eastAsia="標楷體" w:hAnsi="標楷體" w:cs="Arial" w:hint="eastAsia"/>
          <w:color w:val="000000"/>
          <w:kern w:val="0"/>
        </w:rPr>
        <w:t>。籌碼方面，</w:t>
      </w:r>
      <w:r w:rsidR="005334EB">
        <w:rPr>
          <w:rFonts w:ascii="標楷體" w:eastAsia="標楷體" w:hAnsi="標楷體" w:cs="Arial" w:hint="eastAsia"/>
          <w:color w:val="000000"/>
          <w:kern w:val="0"/>
        </w:rPr>
        <w:t>此段期間有20</w:t>
      </w:r>
      <w:r w:rsidR="0029017B">
        <w:rPr>
          <w:rFonts w:ascii="標楷體" w:eastAsia="標楷體" w:hAnsi="標楷體" w:cs="Arial" w:hint="eastAsia"/>
          <w:color w:val="000000"/>
          <w:kern w:val="0"/>
        </w:rPr>
        <w:t>年期新</w:t>
      </w:r>
      <w:proofErr w:type="gramStart"/>
      <w:r w:rsidR="0029017B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9017B">
        <w:rPr>
          <w:rFonts w:ascii="標楷體" w:eastAsia="標楷體" w:hAnsi="標楷體" w:cs="Arial" w:hint="eastAsia"/>
          <w:color w:val="000000"/>
          <w:kern w:val="0"/>
        </w:rPr>
        <w:t>的</w:t>
      </w:r>
      <w:r w:rsidR="005334EB">
        <w:rPr>
          <w:rFonts w:ascii="標楷體" w:eastAsia="標楷體" w:hAnsi="標楷體" w:cs="Arial" w:hint="eastAsia"/>
          <w:color w:val="000000"/>
          <w:kern w:val="0"/>
        </w:rPr>
        <w:t>發行前交</w:t>
      </w:r>
      <w:r w:rsidR="005334EB">
        <w:rPr>
          <w:rFonts w:ascii="標楷體" w:eastAsia="標楷體" w:hAnsi="標楷體" w:cs="Arial" w:hint="eastAsia"/>
          <w:color w:val="000000"/>
          <w:kern w:val="0"/>
        </w:rPr>
        <w:lastRenderedPageBreak/>
        <w:t>易，預估籌碼</w:t>
      </w:r>
      <w:r w:rsidR="00D21E26">
        <w:rPr>
          <w:rFonts w:ascii="標楷體" w:eastAsia="標楷體" w:hAnsi="標楷體" w:cs="Arial" w:hint="eastAsia"/>
          <w:color w:val="000000"/>
          <w:kern w:val="0"/>
        </w:rPr>
        <w:t>優勢仍在，利率</w:t>
      </w:r>
      <w:r w:rsidR="005334EB">
        <w:rPr>
          <w:rFonts w:ascii="標楷體" w:eastAsia="標楷體" w:hAnsi="標楷體" w:cs="Arial" w:hint="eastAsia"/>
          <w:color w:val="000000"/>
          <w:kern w:val="0"/>
        </w:rPr>
        <w:t>偏向下跌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目前</w:t>
      </w:r>
      <w:r w:rsidR="00DF5A5D">
        <w:rPr>
          <w:rFonts w:ascii="標楷體" w:eastAsia="標楷體" w:hAnsi="標楷體" w:cs="Arial" w:hint="eastAsia"/>
          <w:color w:val="000000"/>
          <w:kern w:val="0"/>
        </w:rPr>
        <w:t>利率</w:t>
      </w:r>
      <w:r w:rsidR="005334EB">
        <w:rPr>
          <w:rFonts w:ascii="標楷體" w:eastAsia="標楷體" w:hAnsi="標楷體" w:cs="Arial" w:hint="eastAsia"/>
          <w:color w:val="000000"/>
          <w:kern w:val="0"/>
        </w:rPr>
        <w:t>低檔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整理</w:t>
      </w:r>
      <w:r w:rsidR="00DF5A5D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交易商利率逢高買的策略不變</w:t>
      </w:r>
      <w:r w:rsidR="00DF5A5D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D21E26">
        <w:rPr>
          <w:rFonts w:ascii="標楷體" w:eastAsia="標楷體" w:hAnsi="標楷體" w:cs="Arial" w:hint="eastAsia"/>
          <w:color w:val="000000"/>
          <w:kern w:val="0"/>
        </w:rPr>
        <w:t>2.40%整數支撐</w:t>
      </w:r>
      <w:r w:rsidR="0029017B">
        <w:rPr>
          <w:rFonts w:ascii="標楷體" w:eastAsia="標楷體" w:hAnsi="標楷體" w:cs="Arial" w:hint="eastAsia"/>
          <w:color w:val="000000"/>
          <w:kern w:val="0"/>
        </w:rPr>
        <w:t>，將是多</w:t>
      </w:r>
      <w:r w:rsidR="00D21E26">
        <w:rPr>
          <w:rFonts w:ascii="標楷體" w:eastAsia="標楷體" w:hAnsi="標楷體" w:cs="Arial" w:hint="eastAsia"/>
          <w:color w:val="000000"/>
          <w:kern w:val="0"/>
        </w:rPr>
        <w:t>頭</w:t>
      </w:r>
      <w:r w:rsidR="005334EB">
        <w:rPr>
          <w:rFonts w:ascii="標楷體" w:eastAsia="標楷體" w:hAnsi="標楷體" w:cs="Arial" w:hint="eastAsia"/>
          <w:color w:val="000000"/>
          <w:kern w:val="0"/>
        </w:rPr>
        <w:t>的信心依據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D61B0B">
        <w:rPr>
          <w:rFonts w:ascii="標楷體" w:eastAsia="標楷體" w:hAnsi="標楷體" w:cs="Arial" w:hint="eastAsia"/>
          <w:color w:val="000000"/>
          <w:kern w:val="0"/>
        </w:rPr>
        <w:t>維持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補券</w:t>
      </w:r>
      <w:r w:rsidR="00D61B0B">
        <w:rPr>
          <w:rFonts w:ascii="標楷體" w:eastAsia="標楷體" w:hAnsi="標楷體" w:cs="Arial" w:hint="eastAsia"/>
          <w:color w:val="000000"/>
          <w:kern w:val="0"/>
        </w:rPr>
        <w:t>建議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5334EB">
        <w:rPr>
          <w:rFonts w:ascii="標楷體" w:eastAsia="標楷體" w:hAnsi="標楷體" w:cs="Arial" w:hint="eastAsia"/>
          <w:color w:val="000000"/>
          <w:kern w:val="0"/>
        </w:rPr>
        <w:t>1.01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5334EB">
        <w:rPr>
          <w:rFonts w:ascii="標楷體" w:eastAsia="標楷體" w:hAnsi="標楷體" w:cs="Arial" w:hint="eastAsia"/>
          <w:color w:val="000000"/>
          <w:kern w:val="0"/>
        </w:rPr>
        <w:t>1.08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19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024" w:rsidRPr="000C4024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724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6AC2"/>
    <w:rsid w:val="000C06F0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318"/>
    <w:rsid w:val="00732308"/>
    <w:rsid w:val="00732D01"/>
    <w:rsid w:val="00735750"/>
    <w:rsid w:val="00735CD5"/>
    <w:rsid w:val="00736496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6151"/>
    <w:rsid w:val="00860B34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2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51482-41F0-4A2E-A639-FD46C2A81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125</Words>
  <Characters>716</Characters>
  <Application>Microsoft Office Word</Application>
  <DocSecurity>0</DocSecurity>
  <Lines>5</Lines>
  <Paragraphs>1</Paragraphs>
  <ScaleCrop>false</ScaleCrop>
  <Company>大中票券</Company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5</cp:revision>
  <cp:lastPrinted>2016-11-21T06:17:00Z</cp:lastPrinted>
  <dcterms:created xsi:type="dcterms:W3CDTF">2017-07-31T01:55:00Z</dcterms:created>
  <dcterms:modified xsi:type="dcterms:W3CDTF">2017-07-31T03:33:00Z</dcterms:modified>
</cp:coreProperties>
</file>