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7D67A4">
        <w:rPr>
          <w:rFonts w:ascii="標楷體" w:eastAsia="標楷體" w:hAnsi="標楷體" w:hint="eastAsia"/>
          <w:b/>
          <w:sz w:val="28"/>
          <w:szCs w:val="28"/>
        </w:rPr>
        <w:t>07/03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低檔整理後，因主要央行官員</w:t>
      </w:r>
      <w:proofErr w:type="gramStart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講話偏鷹派</w:t>
      </w:r>
      <w:proofErr w:type="gramEnd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，帶動利率脫離低點，反彈上漲。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先前有20年</w:t>
      </w:r>
      <w:proofErr w:type="gramStart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買盤壓低利率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但是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10y籌碼較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混亂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，且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5年新</w:t>
      </w:r>
      <w:proofErr w:type="gramStart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發行前交易上漲，</w:t>
      </w:r>
      <w:proofErr w:type="gramStart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利率承壓而</w:t>
      </w:r>
      <w:proofErr w:type="gramEnd"/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上漲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DF0234">
        <w:rPr>
          <w:rFonts w:ascii="標楷體" w:eastAsia="標楷體" w:hAnsi="標楷體" w:cs="Arial" w:hint="eastAsia"/>
          <w:color w:val="000000"/>
          <w:kern w:val="0"/>
          <w:szCs w:val="24"/>
        </w:rPr>
        <w:t>台債利率漲幅仍屬有限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。上周末收盤，5年期利率收在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0.779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1.079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8734B" w:rsidRDefault="005C60CA" w:rsidP="005C60CA">
      <w:pPr>
        <w:widowControl/>
        <w:rPr>
          <w:rFonts w:ascii="標楷體" w:eastAsia="標楷體" w:hAnsi="標楷體"/>
          <w:szCs w:val="24"/>
        </w:rPr>
      </w:pPr>
      <w:r w:rsidRPr="005C60CA">
        <w:rPr>
          <w:rFonts w:ascii="標楷體" w:eastAsia="標楷體" w:hAnsi="標楷體" w:hint="eastAsia"/>
          <w:szCs w:val="24"/>
        </w:rPr>
        <w:t>中國6月官方製造業PMI 51.7，預期 51，</w:t>
      </w:r>
      <w:proofErr w:type="gramStart"/>
      <w:r w:rsidRPr="005C60CA">
        <w:rPr>
          <w:rFonts w:ascii="標楷體" w:eastAsia="標楷體" w:hAnsi="標楷體" w:hint="eastAsia"/>
          <w:szCs w:val="24"/>
        </w:rPr>
        <w:t>前值</w:t>
      </w:r>
      <w:proofErr w:type="gramEnd"/>
      <w:r>
        <w:rPr>
          <w:rFonts w:ascii="標楷體" w:eastAsia="標楷體" w:hAnsi="標楷體" w:hint="eastAsia"/>
          <w:szCs w:val="24"/>
        </w:rPr>
        <w:t xml:space="preserve"> 51.2，</w:t>
      </w:r>
      <w:r w:rsidRPr="005C60CA">
        <w:rPr>
          <w:rFonts w:ascii="標楷體" w:eastAsia="標楷體" w:hAnsi="標楷體" w:hint="eastAsia"/>
          <w:szCs w:val="24"/>
        </w:rPr>
        <w:t>意外反彈至年內次高點</w:t>
      </w:r>
      <w:r w:rsidR="00715A6D">
        <w:rPr>
          <w:rFonts w:ascii="標楷體" w:eastAsia="標楷體" w:hAnsi="標楷體" w:hint="eastAsia"/>
          <w:szCs w:val="24"/>
        </w:rPr>
        <w:t>，</w:t>
      </w:r>
      <w:r w:rsidRPr="005C60CA">
        <w:rPr>
          <w:rFonts w:ascii="標楷體" w:eastAsia="標楷體" w:hAnsi="標楷體" w:hint="eastAsia"/>
          <w:szCs w:val="24"/>
        </w:rPr>
        <w:t>為連續11個月位於</w:t>
      </w:r>
      <w:proofErr w:type="gramStart"/>
      <w:r w:rsidRPr="005C60CA">
        <w:rPr>
          <w:rFonts w:ascii="標楷體" w:eastAsia="標楷體" w:hAnsi="標楷體" w:hint="eastAsia"/>
          <w:szCs w:val="24"/>
        </w:rPr>
        <w:t>榮枯線上方</w:t>
      </w:r>
      <w:proofErr w:type="gramEnd"/>
      <w:r w:rsidR="00D70099" w:rsidRPr="00D70099">
        <w:rPr>
          <w:rFonts w:ascii="標楷體" w:eastAsia="標楷體" w:hAnsi="標楷體" w:hint="eastAsia"/>
          <w:szCs w:val="24"/>
        </w:rPr>
        <w:t>。</w:t>
      </w:r>
    </w:p>
    <w:p w:rsidR="00715A6D" w:rsidRPr="00715A6D" w:rsidRDefault="00715A6D" w:rsidP="00715A6D">
      <w:pPr>
        <w:widowControl/>
        <w:rPr>
          <w:rFonts w:ascii="標楷體" w:eastAsia="標楷體" w:hAnsi="標楷體"/>
          <w:szCs w:val="24"/>
        </w:rPr>
      </w:pPr>
      <w:r w:rsidRPr="00715A6D">
        <w:rPr>
          <w:rFonts w:ascii="標楷體" w:eastAsia="標楷體" w:hAnsi="標楷體" w:hint="eastAsia"/>
          <w:szCs w:val="24"/>
        </w:rPr>
        <w:t>美國6月密西根大學消費者信心指數終值</w:t>
      </w:r>
      <w:r>
        <w:rPr>
          <w:rFonts w:ascii="標楷體" w:eastAsia="標楷體" w:hAnsi="標楷體" w:hint="eastAsia"/>
          <w:szCs w:val="24"/>
        </w:rPr>
        <w:t>95.1，</w:t>
      </w:r>
      <w:r w:rsidRPr="00715A6D">
        <w:rPr>
          <w:rFonts w:ascii="標楷體" w:eastAsia="標楷體" w:hAnsi="標楷體" w:hint="eastAsia"/>
          <w:szCs w:val="24"/>
        </w:rPr>
        <w:t>創2016年11月以來</w:t>
      </w:r>
      <w:proofErr w:type="gramStart"/>
      <w:r w:rsidRPr="00715A6D">
        <w:rPr>
          <w:rFonts w:ascii="標楷體" w:eastAsia="標楷體" w:hAnsi="標楷體" w:hint="eastAsia"/>
          <w:szCs w:val="24"/>
        </w:rPr>
        <w:t>終值新低</w:t>
      </w:r>
      <w:proofErr w:type="gramEnd"/>
      <w:r>
        <w:rPr>
          <w:rFonts w:ascii="標楷體" w:eastAsia="標楷體" w:hAnsi="標楷體" w:hint="eastAsia"/>
          <w:szCs w:val="24"/>
        </w:rPr>
        <w:t>，</w:t>
      </w:r>
      <w:r w:rsidRPr="00715A6D">
        <w:rPr>
          <w:rFonts w:ascii="標楷體" w:eastAsia="標楷體" w:hAnsi="標楷體" w:hint="eastAsia"/>
          <w:szCs w:val="24"/>
        </w:rPr>
        <w:t>預期94.5，初值94.5，5月終值97.1</w:t>
      </w:r>
      <w:r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7501C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1" name="圖片 1" descr="C:\Users\BLOOMB~1\AppData\Local\Temp\Bloomberg\temp\bfm9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2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7C52F8" w:rsidRDefault="00F750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52900"/>
            <wp:effectExtent l="0" t="0" r="0" b="0"/>
            <wp:docPr id="2" name="圖片 2" descr="C:\Users\BLOOMB~1\AppData\Local\Temp\Bloomberg\temp\bfm2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2E4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750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48100"/>
            <wp:effectExtent l="0" t="0" r="0" b="0"/>
            <wp:docPr id="3" name="圖片 3" descr="C:\Users\BLOOMB~1\AppData\Local\Temp\Bloomberg\temp\bfmA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ADC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750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95775"/>
            <wp:effectExtent l="0" t="0" r="0" b="0"/>
            <wp:docPr id="4" name="圖片 4" descr="C:\Users\BLOOMB~1\AppData\Local\Temp\Bloomberg\temp\bfmC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CD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F7501C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5" name="圖片 5" descr="C:\Users\BLOOMB~1\AppData\Local\Temp\Bloomberg\temp\bfmAA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AA7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5055C3" w:rsidP="00404D41">
      <w:pPr>
        <w:jc w:val="both"/>
        <w:rPr>
          <w:rFonts w:ascii="標楷體" w:eastAsia="標楷體" w:hAnsi="標楷體" w:hint="eastAsia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台灣失業率 </w:t>
      </w:r>
      <w:r w:rsidRPr="005055C3">
        <w:rPr>
          <w:rFonts w:ascii="標楷體" w:eastAsia="標楷體" w:hAnsi="標楷體" w:hint="eastAsia"/>
          <w:b/>
          <w:sz w:val="26"/>
          <w:szCs w:val="26"/>
        </w:rPr>
        <w:t xml:space="preserve"> </w:t>
      </w:r>
      <w:proofErr w:type="gramStart"/>
      <w:r w:rsidRPr="005055C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5055C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43350"/>
            <wp:effectExtent l="0" t="0" r="0" b="0"/>
            <wp:docPr id="6" name="圖片 6" descr="C:\Users\BLOOMB~1\AppData\Local\Temp\Bloomberg\temp\bfm9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9C3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5055C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055C3">
        <w:rPr>
          <w:rFonts w:ascii="標楷體" w:eastAsia="標楷體" w:hAnsi="標楷體" w:hint="eastAsia"/>
          <w:b/>
          <w:sz w:val="26"/>
          <w:szCs w:val="26"/>
        </w:rPr>
        <w:t xml:space="preserve">美國成屋待完成銷售指數 </w:t>
      </w:r>
      <w:proofErr w:type="gramStart"/>
      <w:r w:rsidRPr="005055C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5055C3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1F2D16" w:rsidRPr="00527155" w:rsidRDefault="005055C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781425"/>
            <wp:effectExtent l="0" t="0" r="0" b="0"/>
            <wp:docPr id="7" name="圖片 7" descr="C:\Users\BLOOMB~1\AppData\Local\Temp\Bloomberg\temp\bfmE5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E5F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7D12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7D129A">
        <w:rPr>
          <w:rFonts w:ascii="標楷體" w:eastAsia="標楷體" w:hAnsi="標楷體" w:hint="eastAsia"/>
          <w:b/>
          <w:sz w:val="26"/>
          <w:szCs w:val="26"/>
        </w:rPr>
        <w:lastRenderedPageBreak/>
        <w:t>中國製造業採購經理指數</w:t>
      </w:r>
    </w:p>
    <w:p w:rsidR="002D4BC5" w:rsidRPr="00AB6207" w:rsidRDefault="007D12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86250"/>
            <wp:effectExtent l="0" t="0" r="0" b="0"/>
            <wp:docPr id="8" name="圖片 8" descr="C:\Users\BLOOMB~1\AppData\Local\Temp\Bloomberg\temp\bfm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B7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8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7D129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67125"/>
            <wp:effectExtent l="0" t="0" r="0" b="0"/>
            <wp:docPr id="9" name="圖片 9" descr="C:\Users\BLOOMB~1\AppData\Local\Temp\Bloomberg\temp\bfm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E20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4F0CB9" w:rsidRDefault="00736496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43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0.75pt;height:526.5pt" o:ole="">
            <v:imagedata r:id="rId18" o:title=""/>
          </v:shape>
          <o:OLEObject Type="Embed" ProgID="Excel.Sheet.12" ShapeID="_x0000_i1034" DrawAspect="Content" ObjectID="_1560595996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回升至</w:t>
      </w:r>
      <w:proofErr w:type="gramStart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200日均線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方</w:t>
      </w:r>
      <w:proofErr w:type="gramEnd"/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月線與季線即將交會，美債利率漲勢有可能休息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上漲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在整數關卡附近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仍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可能有支撐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美國</w:t>
      </w:r>
      <w:r>
        <w:rPr>
          <w:rFonts w:ascii="標楷體" w:eastAsia="標楷體" w:hAnsi="標楷體" w:cs="Arial" w:hint="eastAsia"/>
          <w:color w:val="000000"/>
          <w:kern w:val="0"/>
        </w:rPr>
        <w:t>6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>
        <w:rPr>
          <w:rFonts w:ascii="標楷體" w:eastAsia="標楷體" w:hAnsi="標楷體" w:cs="Arial" w:hint="eastAsia"/>
          <w:color w:val="000000"/>
          <w:kern w:val="0"/>
        </w:rPr>
        <w:t>ISM製造業指數</w:t>
      </w:r>
      <w:r w:rsidR="0029017B">
        <w:rPr>
          <w:rFonts w:ascii="標楷體" w:eastAsia="標楷體" w:hAnsi="標楷體" w:cs="Arial" w:hint="eastAsia"/>
          <w:color w:val="000000"/>
          <w:kern w:val="0"/>
        </w:rPr>
        <w:t>、非製造業指數，6月非農就業報告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；歐元區6</w:t>
      </w:r>
      <w:r w:rsidR="00A26F41">
        <w:rPr>
          <w:rFonts w:ascii="標楷體" w:eastAsia="標楷體" w:hAnsi="標楷體" w:cs="Arial" w:hint="eastAsia"/>
          <w:color w:val="000000"/>
          <w:kern w:val="0"/>
        </w:rPr>
        <w:t>月</w:t>
      </w:r>
      <w:proofErr w:type="spellStart"/>
      <w:r w:rsidR="00D70099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D70099">
        <w:rPr>
          <w:rFonts w:ascii="標楷體" w:eastAsia="標楷體" w:hAnsi="標楷體" w:cs="Arial" w:hint="eastAsia"/>
          <w:color w:val="000000"/>
          <w:kern w:val="0"/>
        </w:rPr>
        <w:t>製造業指數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終</w:t>
      </w:r>
      <w:r w:rsidR="00D70099">
        <w:rPr>
          <w:rFonts w:ascii="標楷體" w:eastAsia="標楷體" w:hAnsi="標楷體" w:cs="Arial" w:hint="eastAsia"/>
          <w:color w:val="000000"/>
          <w:kern w:val="0"/>
        </w:rPr>
        <w:t>值</w:t>
      </w:r>
      <w:r w:rsidR="0029017B">
        <w:rPr>
          <w:rFonts w:ascii="標楷體" w:eastAsia="標楷體" w:hAnsi="標楷體" w:cs="Arial" w:hint="eastAsia"/>
          <w:color w:val="000000"/>
          <w:kern w:val="0"/>
        </w:rPr>
        <w:t>，德國、法國及義大利的</w:t>
      </w:r>
      <w:proofErr w:type="spellStart"/>
      <w:r w:rsidR="0029017B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29017B">
        <w:rPr>
          <w:rFonts w:ascii="標楷體" w:eastAsia="標楷體" w:hAnsi="標楷體" w:cs="Arial" w:hint="eastAsia"/>
          <w:color w:val="000000"/>
          <w:kern w:val="0"/>
        </w:rPr>
        <w:t>製造業指數終</w:t>
      </w:r>
      <w:r w:rsidR="0029017B">
        <w:rPr>
          <w:rFonts w:ascii="標楷體" w:eastAsia="標楷體" w:hAnsi="標楷體" w:cs="Arial" w:hint="eastAsia"/>
          <w:color w:val="000000"/>
          <w:kern w:val="0"/>
        </w:rPr>
        <w:lastRenderedPageBreak/>
        <w:t>值</w:t>
      </w:r>
      <w:r w:rsidR="00D70099">
        <w:rPr>
          <w:rFonts w:ascii="標楷體" w:eastAsia="標楷體" w:hAnsi="標楷體" w:cs="Arial" w:hint="eastAsia"/>
          <w:color w:val="000000"/>
          <w:kern w:val="0"/>
        </w:rPr>
        <w:t>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數據預估</w:t>
      </w:r>
      <w:r w:rsidR="0029017B">
        <w:rPr>
          <w:rFonts w:ascii="標楷體" w:eastAsia="標楷體" w:hAnsi="標楷體" w:cs="Arial" w:hint="eastAsia"/>
          <w:color w:val="000000"/>
          <w:kern w:val="0"/>
        </w:rPr>
        <w:t>尚佳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。籌碼方面，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本周</w:t>
      </w:r>
      <w:r w:rsidR="0029017B">
        <w:rPr>
          <w:rFonts w:ascii="標楷體" w:eastAsia="標楷體" w:hAnsi="標楷體" w:cs="Arial" w:hint="eastAsia"/>
          <w:color w:val="000000"/>
          <w:kern w:val="0"/>
        </w:rPr>
        <w:t>有2年期新</w:t>
      </w:r>
      <w:proofErr w:type="gramStart"/>
      <w:r w:rsidR="0029017B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9017B">
        <w:rPr>
          <w:rFonts w:ascii="標楷體" w:eastAsia="標楷體" w:hAnsi="標楷體" w:cs="Arial" w:hint="eastAsia"/>
          <w:color w:val="000000"/>
          <w:kern w:val="0"/>
        </w:rPr>
        <w:t>的發行前交易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但由於長</w:t>
      </w:r>
      <w:proofErr w:type="gramStart"/>
      <w:r w:rsidR="0029017B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9017B">
        <w:rPr>
          <w:rFonts w:ascii="標楷體" w:eastAsia="標楷體" w:hAnsi="標楷體" w:cs="Arial" w:hint="eastAsia"/>
          <w:color w:val="000000"/>
          <w:kern w:val="0"/>
        </w:rPr>
        <w:t>20y的買盤影響力，台債利率漲幅相對有限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F5A5D">
        <w:rPr>
          <w:rFonts w:ascii="標楷體" w:eastAsia="標楷體" w:hAnsi="標楷體" w:cs="Arial" w:hint="eastAsia"/>
          <w:color w:val="000000"/>
          <w:kern w:val="0"/>
        </w:rPr>
        <w:t>利率雖上漲，但</w:t>
      </w:r>
      <w:r w:rsidR="00D61B0B">
        <w:rPr>
          <w:rFonts w:ascii="標楷體" w:eastAsia="標楷體" w:hAnsi="標楷體" w:cs="Arial" w:hint="eastAsia"/>
          <w:color w:val="000000"/>
          <w:kern w:val="0"/>
        </w:rPr>
        <w:t>交易商利率逢高買的策略不變</w:t>
      </w:r>
      <w:r w:rsidR="00DF5A5D">
        <w:rPr>
          <w:rFonts w:ascii="標楷體" w:eastAsia="標楷體" w:hAnsi="標楷體" w:cs="Arial" w:hint="eastAsia"/>
          <w:color w:val="000000"/>
          <w:kern w:val="0"/>
        </w:rPr>
        <w:t>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整數關卡的織成仍在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美債10Y利率雖然上漲，然2.30%的整數關卡能否有小突破，將是多空觀察重點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補券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29017B">
        <w:rPr>
          <w:rFonts w:ascii="標楷體" w:eastAsia="標楷體" w:hAnsi="標楷體" w:cs="Arial" w:hint="eastAsia"/>
          <w:color w:val="000000"/>
          <w:kern w:val="0"/>
        </w:rPr>
        <w:t>1.05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29017B">
        <w:rPr>
          <w:rFonts w:ascii="標楷體" w:eastAsia="標楷體" w:hAnsi="標楷體" w:cs="Arial" w:hint="eastAsia"/>
          <w:color w:val="000000"/>
          <w:kern w:val="0"/>
        </w:rPr>
        <w:t>1.15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496" w:rsidRPr="00736496">
          <w:rPr>
            <w:noProof/>
            <w:lang w:val="zh-TW"/>
          </w:rPr>
          <w:t>4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62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318"/>
    <w:rsid w:val="00732308"/>
    <w:rsid w:val="00732D01"/>
    <w:rsid w:val="00735750"/>
    <w:rsid w:val="00735CD5"/>
    <w:rsid w:val="00736496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0293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21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E0435-D049-4173-BEF3-BC74B913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5924</TotalTime>
  <Pages>7</Pages>
  <Words>129</Words>
  <Characters>740</Characters>
  <Application>Microsoft Office Word</Application>
  <DocSecurity>0</DocSecurity>
  <Lines>6</Lines>
  <Paragraphs>1</Paragraphs>
  <ScaleCrop>false</ScaleCrop>
  <Company>大中票券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237</cp:revision>
  <cp:lastPrinted>2016-11-21T06:17:00Z</cp:lastPrinted>
  <dcterms:created xsi:type="dcterms:W3CDTF">2015-07-27T02:06:00Z</dcterms:created>
  <dcterms:modified xsi:type="dcterms:W3CDTF">2017-07-03T06:07:00Z</dcterms:modified>
</cp:coreProperties>
</file>