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154D9B">
        <w:rPr>
          <w:rFonts w:ascii="標楷體" w:eastAsia="標楷體" w:hAnsi="標楷體" w:hint="eastAsia"/>
          <w:b/>
          <w:sz w:val="28"/>
          <w:szCs w:val="28"/>
        </w:rPr>
        <w:t>3</w:t>
      </w:r>
      <w:r w:rsidR="005020A3">
        <w:rPr>
          <w:rFonts w:ascii="標楷體" w:eastAsia="標楷體" w:hAnsi="標楷體" w:hint="eastAsia"/>
          <w:b/>
          <w:sz w:val="28"/>
          <w:szCs w:val="28"/>
        </w:rPr>
        <w:t>/13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從低點2.30%持續上漲至2.60%上方，因逢區間高點，漲多拉回。然最近的經濟數據較佳，Fed官員講話也偏向鷹派，市場預期今年升息次數可能有4次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預估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利率處於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高檔整理的格局。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2.576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在低檔1.05%無法站穩，受到美債利率連長影響，籌碼鬆動，利率大漲，一度站上1.28%上方，然投資盤進場，加以籌碼有限，利率再度拉回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91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1.215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82B40" w:rsidRPr="00182B40" w:rsidRDefault="006B7F15" w:rsidP="00CF3D21">
      <w:pPr>
        <w:widowControl/>
        <w:rPr>
          <w:rFonts w:ascii="標楷體" w:eastAsia="標楷體" w:hAnsi="標楷體"/>
          <w:szCs w:val="24"/>
        </w:rPr>
      </w:pPr>
      <w:r w:rsidRPr="006B7F15">
        <w:rPr>
          <w:rFonts w:ascii="標楷體" w:eastAsia="標楷體" w:hAnsi="標楷體" w:hint="eastAsia"/>
          <w:szCs w:val="24"/>
        </w:rPr>
        <w:t>美國2月非農業職位增幅為23.5萬個，優於市場預期；平均</w:t>
      </w:r>
      <w:proofErr w:type="gramStart"/>
      <w:r w:rsidRPr="006B7F15">
        <w:rPr>
          <w:rFonts w:ascii="標楷體" w:eastAsia="標楷體" w:hAnsi="標楷體" w:hint="eastAsia"/>
          <w:szCs w:val="24"/>
        </w:rPr>
        <w:t>時薪按年</w:t>
      </w:r>
      <w:proofErr w:type="gramEnd"/>
      <w:r w:rsidRPr="006B7F15">
        <w:rPr>
          <w:rFonts w:ascii="標楷體" w:eastAsia="標楷體" w:hAnsi="標楷體" w:hint="eastAsia"/>
          <w:szCs w:val="24"/>
        </w:rPr>
        <w:t>升2.8%，高於前一月的2.6%。失業率為4.7%，與預期持平；平均每小時工資月增0.2%，不及預期。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26EA7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43325"/>
            <wp:effectExtent l="0" t="0" r="0" b="0"/>
            <wp:docPr id="1" name="圖片 1" descr="C:\Users\BLOOMB~1\AppData\Local\Temp\Bloomberg\temp\bfm4F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F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257E2D" w:rsidRDefault="00F26E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48150"/>
            <wp:effectExtent l="0" t="0" r="0" b="0"/>
            <wp:docPr id="2" name="圖片 2" descr="C:\Users\BLOOMB~1\AppData\Local\Temp\Bloomberg\temp\bfmB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BE0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26E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10000"/>
            <wp:effectExtent l="0" t="0" r="0" b="0"/>
            <wp:docPr id="3" name="圖片 3" descr="C:\Users\BLOOMB~1\AppData\Local\Temp\Bloomberg\temp\bfm3A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A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F26E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4" name="圖片 4" descr="C:\Users\BLOOMB~1\AppData\Local\Temp\Bloomberg\temp\bfmA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A6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F26EA7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67175"/>
            <wp:effectExtent l="0" t="0" r="0" b="0"/>
            <wp:docPr id="5" name="圖片 5" descr="C:\Users\BLOOMB~1\AppData\Local\Temp\Bloomberg\temp\bfm2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25C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A11F13" w:rsidRPr="00985EF5" w:rsidRDefault="00F26E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6" name="圖片 6" descr="C:\Users\BLOOMB~1\AppData\Local\Temp\Bloomberg\temp\bfm9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9CD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t>歐元區實質國內生產毛額 基期=2000 (年比)</w:t>
      </w:r>
    </w:p>
    <w:p w:rsidR="001F2D16" w:rsidRPr="0052715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48100"/>
            <wp:effectExtent l="0" t="0" r="0" b="0"/>
            <wp:docPr id="7" name="圖片 7" descr="C:\Users\BLOOMB~1\AppData\Local\Temp\Bloomberg\temp\bfm6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66E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F6D5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F6D5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24300"/>
            <wp:effectExtent l="0" t="0" r="0" b="0"/>
            <wp:docPr id="8" name="圖片 8" descr="C:\Users\BLOOMB~1\AppData\Local\Temp\Bloomberg\temp\bfmFD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FD6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52875"/>
            <wp:effectExtent l="0" t="0" r="0" b="0"/>
            <wp:docPr id="9" name="圖片 9" descr="C:\Users\BLOOMB~1\AppData\Local\Temp\Bloomberg\temp\bfm9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942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52404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755" w:dyaOrig="10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38pt;height:500.25pt" o:ole="">
            <v:imagedata r:id="rId18" o:title=""/>
          </v:shape>
          <o:OLEObject Type="Embed" ProgID="Excel.Sheet.12" ShapeID="_x0000_i1034" DrawAspect="Content" ObjectID="_1550906861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月線走勢在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突破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2.50%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的下降通道</w:t>
      </w:r>
      <w:proofErr w:type="gramStart"/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上緣後</w:t>
      </w:r>
      <w:proofErr w:type="gramEnd"/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，預期利率偏上漲，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但在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2.6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0%附近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應會有較大支撐，向上突破不易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10年期月線與</w:t>
      </w:r>
      <w:proofErr w:type="gramStart"/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再度轉為向上，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預期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盤勢區間上移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B7F15">
        <w:rPr>
          <w:rFonts w:ascii="標楷體" w:eastAsia="標楷體" w:hAnsi="標楷體" w:cs="Arial" w:hint="eastAsia"/>
          <w:color w:val="000000"/>
          <w:kern w:val="0"/>
        </w:rPr>
        <w:t>上週</w:t>
      </w:r>
      <w:r w:rsidR="006B7F15" w:rsidRPr="006B7F15">
        <w:rPr>
          <w:rFonts w:ascii="標楷體" w:eastAsia="標楷體" w:hAnsi="標楷體" w:cs="Arial" w:hint="eastAsia"/>
          <w:color w:val="000000"/>
          <w:kern w:val="0"/>
        </w:rPr>
        <w:t>ECB在會後聲明中刪除「將採取所有可用工具支撐成長和通膨」的措辭</w:t>
      </w:r>
      <w:r w:rsidR="006B7F15">
        <w:rPr>
          <w:rFonts w:ascii="標楷體" w:eastAsia="標楷體" w:hAnsi="標楷體" w:cs="Arial" w:hint="eastAsia"/>
          <w:color w:val="000000"/>
          <w:kern w:val="0"/>
        </w:rPr>
        <w:t>，Fed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6B7F15">
        <w:rPr>
          <w:rFonts w:ascii="標楷體" w:eastAsia="標楷體" w:hAnsi="標楷體" w:cs="Arial" w:hint="eastAsia"/>
          <w:color w:val="000000"/>
          <w:kern w:val="0"/>
        </w:rPr>
        <w:t>開會，會後聲明為觀察重點。另</w:t>
      </w:r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8264EF">
        <w:rPr>
          <w:rFonts w:ascii="標楷體" w:eastAsia="標楷體" w:hAnsi="標楷體" w:cs="Arial" w:hint="eastAsia"/>
          <w:color w:val="000000"/>
          <w:kern w:val="0"/>
        </w:rPr>
        <w:t>德</w:t>
      </w:r>
      <w:r w:rsidR="00AA62B2">
        <w:rPr>
          <w:rFonts w:ascii="標楷體" w:eastAsia="標楷體" w:hAnsi="標楷體" w:cs="Arial" w:hint="eastAsia"/>
          <w:color w:val="000000"/>
          <w:kern w:val="0"/>
        </w:rPr>
        <w:t>國</w:t>
      </w:r>
      <w:r w:rsidR="006B7F15">
        <w:rPr>
          <w:rFonts w:ascii="標楷體" w:eastAsia="標楷體" w:hAnsi="標楷體" w:cs="Arial" w:hint="eastAsia"/>
          <w:color w:val="000000"/>
          <w:kern w:val="0"/>
        </w:rPr>
        <w:t>2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月的</w:t>
      </w:r>
      <w:r w:rsidR="008264EF">
        <w:rPr>
          <w:rFonts w:ascii="標楷體" w:eastAsia="標楷體" w:hAnsi="標楷體" w:cs="Arial" w:hint="eastAsia"/>
          <w:color w:val="000000"/>
          <w:kern w:val="0"/>
        </w:rPr>
        <w:t>CPI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指數</w:t>
      </w:r>
      <w:r w:rsidR="006B7F15">
        <w:rPr>
          <w:rFonts w:ascii="標楷體" w:eastAsia="標楷體" w:hAnsi="標楷體" w:cs="Arial" w:hint="eastAsia"/>
          <w:color w:val="000000"/>
          <w:kern w:val="0"/>
        </w:rPr>
        <w:t>、三月ZEW經濟景氣指數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，美國二月房屋開工數及領先指標等</w:t>
      </w:r>
      <w:r w:rsidR="00AA62B2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由於主流10年期的A06104，只發行300億元，籌碼較集中，利率漲多易拉回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漲勢停止，回到整理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多頭仍是主要控盤者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則看會後聲明有無機會漲</w:t>
      </w:r>
      <w:r w:rsidR="00AA72B6">
        <w:rPr>
          <w:rFonts w:ascii="標楷體" w:eastAsia="標楷體" w:hAnsi="標楷體" w:cs="Arial" w:hint="eastAsia"/>
          <w:color w:val="000000"/>
          <w:kern w:val="0"/>
        </w:rPr>
        <w:lastRenderedPageBreak/>
        <w:t>過2.60%支撐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E82CA1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E82CA1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E82CA1">
        <w:rPr>
          <w:rFonts w:ascii="標楷體" w:eastAsia="標楷體" w:hAnsi="標楷體" w:cs="Arial" w:hint="eastAsia"/>
          <w:color w:val="000000"/>
          <w:kern w:val="0"/>
        </w:rPr>
        <w:t>應較適宜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E82CA1">
        <w:rPr>
          <w:rFonts w:ascii="標楷體" w:eastAsia="標楷體" w:hAnsi="標楷體" w:cs="Arial" w:hint="eastAsia"/>
          <w:color w:val="000000"/>
          <w:kern w:val="0"/>
        </w:rPr>
        <w:t>1.15%~1.25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041" w:rsidRPr="00524041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29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9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3D63A-124B-4102-B9B2-7A829E51C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4967</TotalTime>
  <Pages>7</Pages>
  <Words>145</Words>
  <Characters>830</Characters>
  <Application>Microsoft Office Word</Application>
  <DocSecurity>0</DocSecurity>
  <Lines>6</Lines>
  <Paragraphs>1</Paragraphs>
  <ScaleCrop>false</ScaleCrop>
  <Company>大中票券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204</cp:revision>
  <cp:lastPrinted>2016-11-21T06:17:00Z</cp:lastPrinted>
  <dcterms:created xsi:type="dcterms:W3CDTF">2015-07-27T02:06:00Z</dcterms:created>
  <dcterms:modified xsi:type="dcterms:W3CDTF">2017-03-13T02:41:00Z</dcterms:modified>
</cp:coreProperties>
</file>