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C354EC">
        <w:rPr>
          <w:rFonts w:ascii="標楷體" w:eastAsia="標楷體" w:hAnsi="標楷體" w:hint="eastAsia"/>
          <w:b/>
          <w:sz w:val="28"/>
          <w:szCs w:val="28"/>
        </w:rPr>
        <w:t xml:space="preserve">  2016/11/21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在川普當選後</w:t>
      </w:r>
      <w:bookmarkStart w:id="0" w:name="_GoBack"/>
      <w:r w:rsidR="00B86621" w:rsidRPr="00B86621">
        <w:rPr>
          <w:rFonts w:ascii="標楷體" w:eastAsia="標楷體" w:hAnsi="標楷體" w:cs="Arial" w:hint="eastAsia"/>
          <w:color w:val="000000"/>
          <w:kern w:val="0"/>
          <w:szCs w:val="24"/>
        </w:rPr>
        <w:t>至今</w:t>
      </w:r>
      <w:bookmarkEnd w:id="0"/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大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漲到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2.33%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上方，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連續漲過重要支撐關卡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市場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除已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反應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美國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Fed於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12月升息的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預期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外，也對川普政府將要推動的財政刺激政策做出預期反應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2.357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美債利率穿過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2.0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%後，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加上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新10年</w:t>
      </w:r>
      <w:proofErr w:type="gramStart"/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的發行前交易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即將上場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因素，令台債利率出現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少見的連日上漲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行情，10年期利率自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0.90%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附近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上漲，突破1.0%整數關卡，再向上突破1.10%與1.20%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，買盤縮手，利率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逼向1.30%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88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1.2988%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0678A5" w:rsidP="003F6221">
      <w:pPr>
        <w:widowControl/>
        <w:rPr>
          <w:rFonts w:ascii="標楷體" w:eastAsia="標楷體" w:hAnsi="標楷體"/>
          <w:szCs w:val="24"/>
        </w:rPr>
      </w:pPr>
      <w:r w:rsidRPr="000678A5">
        <w:rPr>
          <w:rFonts w:ascii="標楷體" w:eastAsia="標楷體" w:hAnsi="標楷體" w:hint="eastAsia"/>
          <w:szCs w:val="24"/>
        </w:rPr>
        <w:t>APEC昨天於秘魯利馬召開經濟領袖會議，經濟部次長沈榮津表示，目前跨太平洋夥伴協定（TPP）與區域全面經濟夥伴協定（RCEP）進度都渾沌不明，現在能努力的是加強我國法規鬆綁、從自由貿易協定（FTA）切入。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886F58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1" name="圖片 1" descr="C:\Users\BLOOMB~1\AppData\Local\Temp\Bloomberg\temp\bfmF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FE4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886F5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33850"/>
            <wp:effectExtent l="0" t="0" r="0" b="0"/>
            <wp:docPr id="2" name="圖片 2" descr="C:\Users\BLOOMB~1\AppData\Local\Temp\Bloomberg\temp\bfm3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3C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886F5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76675"/>
            <wp:effectExtent l="0" t="0" r="0" b="0"/>
            <wp:docPr id="3" name="圖片 3" descr="C:\Users\BLOOMB~1\AppData\Local\Temp\Bloomberg\temp\bfmD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D0C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886F5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57675"/>
            <wp:effectExtent l="0" t="0" r="0" b="0"/>
            <wp:docPr id="4" name="圖片 4" descr="C:\Users\BLOOMB~1\AppData\Local\Temp\Bloomberg\temp\bfm88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88D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886F58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38575"/>
            <wp:effectExtent l="0" t="0" r="0" b="0"/>
            <wp:docPr id="5" name="圖片 5" descr="C:\Users\BLOOMB~1\AppData\Local\Temp\Bloomberg\temp\bfm46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469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886F5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86F58">
        <w:rPr>
          <w:rFonts w:ascii="標楷體" w:eastAsia="標楷體" w:hAnsi="標楷體" w:hint="eastAsia"/>
          <w:b/>
          <w:sz w:val="26"/>
          <w:szCs w:val="26"/>
        </w:rPr>
        <w:t>美國密西根大學消費者信心指數同時指標</w:t>
      </w:r>
    </w:p>
    <w:p w:rsidR="00A11F13" w:rsidRPr="00985EF5" w:rsidRDefault="00886F5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62400"/>
            <wp:effectExtent l="0" t="0" r="0" b="0"/>
            <wp:docPr id="6" name="圖片 6" descr="C:\Users\BLOOMB~1\AppData\Local\Temp\Bloomberg\temp\bfmB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2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4A7BB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A7BBB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1F2D16" w:rsidRPr="00527155" w:rsidRDefault="00886F5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95700"/>
            <wp:effectExtent l="0" t="0" r="0" b="0"/>
            <wp:docPr id="7" name="圖片 7" descr="C:\Users\BLOOMB~1\AppData\Local\Temp\Bloomberg\temp\bfm2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4B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A7BB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A7BBB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美國新屋開工件數私有住宅 </w:t>
      </w:r>
      <w:proofErr w:type="gramStart"/>
      <w:r w:rsidRPr="004A7BB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4A7BB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8" name="圖片 8" descr="C:\Users\BLOOMB~1\AppData\Local\Temp\Bloomberg\temp\bfm7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7A9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4A7BB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9" name="圖片 9" descr="C:\Users\BLOOMB~1\AppData\Local\Temp\Bloomberg\temp\bfm7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71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4750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32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563.25pt" o:ole="">
            <v:imagedata r:id="rId18" o:title=""/>
          </v:shape>
          <o:OLEObject Type="Embed" ProgID="Excel.Sheet.12" ShapeID="_x0000_i1025" DrawAspect="Content" ObjectID="_1541243189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0678A5">
        <w:rPr>
          <w:rFonts w:ascii="標楷體" w:eastAsia="標楷體" w:hAnsi="標楷體" w:cs="Arial" w:hint="eastAsia"/>
          <w:color w:val="000000"/>
          <w:kern w:val="0"/>
          <w:szCs w:val="24"/>
        </w:rPr>
        <w:t>突破2.30%後，應有機會在2.30%~2.50%區間維持整理格局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向上突破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0D74E7">
        <w:rPr>
          <w:rFonts w:ascii="標楷體" w:eastAsia="標楷體" w:hAnsi="標楷體" w:cs="Arial" w:hint="eastAsia"/>
          <w:color w:val="000000"/>
          <w:kern w:val="0"/>
          <w:szCs w:val="24"/>
        </w:rPr>
        <w:t>2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0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後，</w:t>
      </w:r>
      <w:r w:rsidR="000D74E7">
        <w:rPr>
          <w:rFonts w:ascii="標楷體" w:eastAsia="標楷體" w:hAnsi="標楷體" w:cs="Arial" w:hint="eastAsia"/>
          <w:color w:val="000000"/>
          <w:kern w:val="0"/>
          <w:szCs w:val="24"/>
        </w:rPr>
        <w:t>下一</w:t>
      </w:r>
      <w:proofErr w:type="gramStart"/>
      <w:r w:rsidR="000D74E7">
        <w:rPr>
          <w:rFonts w:ascii="標楷體" w:eastAsia="標楷體" w:hAnsi="標楷體" w:cs="Arial" w:hint="eastAsia"/>
          <w:color w:val="000000"/>
          <w:kern w:val="0"/>
          <w:szCs w:val="24"/>
        </w:rPr>
        <w:t>檔</w:t>
      </w:r>
      <w:proofErr w:type="gramEnd"/>
      <w:r w:rsidR="000D74E7">
        <w:rPr>
          <w:rFonts w:ascii="標楷體" w:eastAsia="標楷體" w:hAnsi="標楷體" w:cs="Arial" w:hint="eastAsia"/>
          <w:color w:val="000000"/>
          <w:kern w:val="0"/>
          <w:szCs w:val="24"/>
        </w:rPr>
        <w:t>支撐約在1.50%</w:t>
      </w:r>
      <w:r w:rsidR="00677353">
        <w:rPr>
          <w:rFonts w:ascii="標楷體" w:eastAsia="標楷體" w:hAnsi="標楷體" w:cs="Arial" w:hint="eastAsia"/>
          <w:color w:val="000000"/>
          <w:kern w:val="0"/>
          <w:szCs w:val="24"/>
        </w:rPr>
        <w:t>。近期利率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須</w:t>
      </w:r>
      <w:proofErr w:type="gramStart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注意乖</w:t>
      </w:r>
      <w:proofErr w:type="gramEnd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離過大拉回修正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B019D6">
        <w:rPr>
          <w:rFonts w:ascii="標楷體" w:eastAsia="標楷體" w:hAnsi="標楷體" w:cs="Arial" w:hint="eastAsia"/>
          <w:color w:val="000000"/>
          <w:kern w:val="0"/>
        </w:rPr>
        <w:t>10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外銷訂單</w:t>
      </w:r>
      <w:r w:rsidR="00677353">
        <w:rPr>
          <w:rFonts w:ascii="標楷體" w:eastAsia="標楷體" w:hAnsi="標楷體" w:cs="Arial" w:hint="eastAsia"/>
          <w:color w:val="000000"/>
          <w:kern w:val="0"/>
        </w:rPr>
        <w:t>、</w:t>
      </w:r>
      <w:r w:rsidR="000D74E7">
        <w:rPr>
          <w:rFonts w:ascii="標楷體" w:eastAsia="標楷體" w:hAnsi="標楷體" w:cs="Arial" w:hint="eastAsia"/>
          <w:color w:val="000000"/>
          <w:kern w:val="0"/>
        </w:rPr>
        <w:t>10月失業率</w:t>
      </w:r>
      <w:r w:rsidR="000D74E7">
        <w:rPr>
          <w:rFonts w:ascii="標楷體" w:eastAsia="標楷體" w:hAnsi="標楷體" w:cs="Arial" w:hint="eastAsia"/>
          <w:color w:val="000000"/>
          <w:kern w:val="0"/>
        </w:rPr>
        <w:tab/>
        <w:t>、第三季GDP成長率</w:t>
      </w:r>
      <w:r w:rsidR="00677353">
        <w:rPr>
          <w:rFonts w:ascii="標楷體" w:eastAsia="標楷體" w:hAnsi="標楷體" w:cs="Arial" w:hint="eastAsia"/>
          <w:color w:val="000000"/>
          <w:kern w:val="0"/>
        </w:rPr>
        <w:t>，</w:t>
      </w:r>
      <w:r w:rsidR="000D74E7">
        <w:rPr>
          <w:rFonts w:ascii="標楷體" w:eastAsia="標楷體" w:hAnsi="標楷體" w:cs="Arial" w:hint="eastAsia"/>
          <w:color w:val="000000"/>
          <w:kern w:val="0"/>
        </w:rPr>
        <w:t>美國10月成屋銷售、耐久財訂單及11月消費者信心</w:t>
      </w:r>
      <w:r w:rsidR="00677353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有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公債</w:t>
      </w:r>
      <w:r w:rsidR="000D74E7">
        <w:rPr>
          <w:rFonts w:ascii="標楷體" w:eastAsia="標楷體" w:hAnsi="標楷體" w:cs="Arial" w:hint="eastAsia"/>
          <w:color w:val="000000"/>
          <w:kern w:val="0"/>
        </w:rPr>
        <w:t>A05114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的</w:t>
      </w:r>
      <w:r w:rsidR="000D74E7">
        <w:rPr>
          <w:rFonts w:ascii="標楷體" w:eastAsia="標楷體" w:hAnsi="標楷體" w:cs="Arial" w:hint="eastAsia"/>
          <w:color w:val="000000"/>
          <w:kern w:val="0"/>
        </w:rPr>
        <w:t>30</w:t>
      </w:r>
      <w:r w:rsidR="000D6DA8">
        <w:rPr>
          <w:rFonts w:ascii="標楷體" w:eastAsia="標楷體" w:hAnsi="標楷體" w:cs="Arial" w:hint="eastAsia"/>
          <w:color w:val="000000"/>
          <w:kern w:val="0"/>
        </w:rPr>
        <w:t>年</w:t>
      </w:r>
      <w:proofErr w:type="gramStart"/>
      <w:r w:rsidR="000D6DA8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77353">
        <w:rPr>
          <w:rFonts w:ascii="標楷體" w:eastAsia="標楷體" w:hAnsi="標楷體" w:cs="Arial" w:hint="eastAsia"/>
          <w:color w:val="000000"/>
          <w:kern w:val="0"/>
        </w:rPr>
        <w:t>標售</w:t>
      </w:r>
      <w:r w:rsidR="00B019D6">
        <w:rPr>
          <w:rFonts w:ascii="標楷體" w:eastAsia="標楷體" w:hAnsi="標楷體" w:cs="Arial" w:hint="eastAsia"/>
          <w:color w:val="000000"/>
          <w:kern w:val="0"/>
        </w:rPr>
        <w:t>、</w:t>
      </w:r>
      <w:r w:rsidR="000D74E7">
        <w:rPr>
          <w:rFonts w:ascii="標楷體" w:eastAsia="標楷體" w:hAnsi="標楷體" w:cs="Arial" w:hint="eastAsia"/>
          <w:color w:val="000000"/>
          <w:kern w:val="0"/>
        </w:rPr>
        <w:t>10y的新</w:t>
      </w:r>
      <w:proofErr w:type="gramStart"/>
      <w:r w:rsidR="000D74E7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77353">
        <w:rPr>
          <w:rFonts w:ascii="標楷體" w:eastAsia="標楷體" w:hAnsi="標楷體" w:cs="Arial" w:hint="eastAsia"/>
          <w:color w:val="000000"/>
          <w:kern w:val="0"/>
        </w:rPr>
        <w:t>發行前交易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r w:rsidR="00F82563">
        <w:rPr>
          <w:rFonts w:ascii="標楷體" w:eastAsia="標楷體" w:hAnsi="標楷體" w:cs="Arial" w:hint="eastAsia"/>
          <w:color w:val="000000"/>
          <w:kern w:val="0"/>
        </w:rPr>
        <w:t>台債操作上，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利率極度偏空</w:t>
      </w:r>
      <w:r w:rsidR="00DA0B70">
        <w:rPr>
          <w:rFonts w:ascii="標楷體" w:eastAsia="標楷體" w:hAnsi="標楷體" w:cs="Arial" w:hint="eastAsia"/>
          <w:color w:val="000000"/>
          <w:kern w:val="0"/>
        </w:rPr>
        <w:t>，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先前標</w:t>
      </w:r>
      <w:r w:rsidR="00DD538C">
        <w:rPr>
          <w:rFonts w:ascii="標楷體" w:eastAsia="標楷體" w:hAnsi="標楷體" w:cs="Arial" w:hint="eastAsia"/>
          <w:color w:val="000000"/>
          <w:kern w:val="0"/>
        </w:rPr>
        <w:t>債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券商深受套牢</w:t>
      </w:r>
      <w:r w:rsidR="00DD538C">
        <w:rPr>
          <w:rFonts w:ascii="標楷體" w:eastAsia="標楷體" w:hAnsi="標楷體" w:cs="Arial" w:hint="eastAsia"/>
          <w:color w:val="000000"/>
          <w:kern w:val="0"/>
        </w:rPr>
        <w:t>影響，買盤縮手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</w:t>
      </w:r>
      <w:proofErr w:type="gramStart"/>
      <w:r w:rsidR="00A13D04">
        <w:rPr>
          <w:rFonts w:ascii="標楷體" w:eastAsia="標楷體" w:hAnsi="標楷體" w:cs="Arial" w:hint="eastAsia"/>
          <w:color w:val="000000"/>
          <w:kern w:val="0"/>
        </w:rPr>
        <w:t>利率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均線呈現</w:t>
      </w:r>
      <w:proofErr w:type="gramEnd"/>
      <w:r w:rsidR="00DA0B70">
        <w:rPr>
          <w:rFonts w:ascii="標楷體" w:eastAsia="標楷體" w:hAnsi="標楷體" w:cs="Arial" w:hint="eastAsia"/>
          <w:color w:val="000000"/>
          <w:kern w:val="0"/>
        </w:rPr>
        <w:t>上揚走勢</w:t>
      </w:r>
      <w:r w:rsidR="009758F4">
        <w:rPr>
          <w:rFonts w:ascii="標楷體" w:eastAsia="標楷體" w:hAnsi="標楷體" w:cs="Arial" w:hint="eastAsia"/>
          <w:color w:val="000000"/>
          <w:kern w:val="0"/>
        </w:rPr>
        <w:t>，</w:t>
      </w:r>
      <w:r w:rsidR="000D74E7">
        <w:rPr>
          <w:rFonts w:ascii="標楷體" w:eastAsia="標楷體" w:hAnsi="標楷體" w:cs="Arial" w:hint="eastAsia"/>
          <w:color w:val="000000"/>
          <w:kern w:val="0"/>
        </w:rPr>
        <w:t>短線上不宜作多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向上的局面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0D74E7">
        <w:rPr>
          <w:rFonts w:ascii="標楷體" w:eastAsia="標楷體" w:hAnsi="標楷體" w:cs="Arial" w:hint="eastAsia"/>
          <w:color w:val="000000"/>
          <w:kern w:val="0"/>
        </w:rPr>
        <w:t>1.20%~1.50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621" w:rsidRPr="00B86621">
          <w:rPr>
            <w:noProof/>
            <w:lang w:val="zh-TW"/>
          </w:rPr>
          <w:t>1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027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77353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4D80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27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4A064-BAFD-4FDA-8AC1-2DEE15DF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4586</TotalTime>
  <Pages>7</Pages>
  <Words>142</Words>
  <Characters>814</Characters>
  <Application>Microsoft Office Word</Application>
  <DocSecurity>0</DocSecurity>
  <Lines>6</Lines>
  <Paragraphs>1</Paragraphs>
  <ScaleCrop>false</ScaleCrop>
  <Company>大中票券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179</cp:revision>
  <cp:lastPrinted>2016-11-21T06:17:00Z</cp:lastPrinted>
  <dcterms:created xsi:type="dcterms:W3CDTF">2015-07-27T02:06:00Z</dcterms:created>
  <dcterms:modified xsi:type="dcterms:W3CDTF">2016-11-21T06:20:00Z</dcterms:modified>
</cp:coreProperties>
</file>