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EB1121">
        <w:rPr>
          <w:rFonts w:ascii="標楷體" w:eastAsia="標楷體" w:hAnsi="標楷體" w:hint="eastAsia"/>
          <w:b/>
          <w:sz w:val="28"/>
          <w:szCs w:val="28"/>
        </w:rPr>
        <w:t xml:space="preserve">  2015/11/16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先漲後跌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上漲原因在於非農就業報告佳，市場對</w:t>
      </w:r>
      <w:proofErr w:type="gramStart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121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月聯</w:t>
      </w:r>
      <w:proofErr w:type="gramStart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會升息的預期機率增加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但後續利率因為在高檔有初步支撐，加上數據</w:t>
      </w:r>
      <w:proofErr w:type="gramStart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有些偏弱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，利率自高檔回跌以修正月線乖離情況。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2.264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仍走區間整理格局，先前因為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10y新</w:t>
      </w:r>
      <w:proofErr w:type="gramStart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發行前交易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加上美國升息預期而走高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，但是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在A04112R標售利率1.199%，低於預期的情況下，利率回跌至季線位置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相對而言仍比較偏多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目前債市利率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缺乏穩固的上漲力道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7655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1.18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EB1121" w:rsidP="00F00997">
      <w:pPr>
        <w:widowControl/>
        <w:rPr>
          <w:rFonts w:ascii="標楷體" w:eastAsia="標楷體" w:hAnsi="標楷體"/>
          <w:szCs w:val="24"/>
        </w:rPr>
      </w:pPr>
      <w:r w:rsidRPr="00EB1121">
        <w:rPr>
          <w:rFonts w:ascii="標楷體" w:eastAsia="標楷體" w:hAnsi="標楷體" w:hint="eastAsia"/>
          <w:szCs w:val="24"/>
        </w:rPr>
        <w:t>美國商務部上週五 (13日) 公布最新經濟數據顯示，在汽車</w:t>
      </w:r>
      <w:proofErr w:type="gramStart"/>
      <w:r w:rsidRPr="00EB1121">
        <w:rPr>
          <w:rFonts w:ascii="標楷體" w:eastAsia="標楷體" w:hAnsi="標楷體" w:hint="eastAsia"/>
          <w:szCs w:val="24"/>
        </w:rPr>
        <w:t>銷售量轉跌拖累</w:t>
      </w:r>
      <w:proofErr w:type="gramEnd"/>
      <w:r w:rsidRPr="00EB1121">
        <w:rPr>
          <w:rFonts w:ascii="標楷體" w:eastAsia="標楷體" w:hAnsi="標楷體" w:hint="eastAsia"/>
          <w:szCs w:val="24"/>
        </w:rPr>
        <w:t>之下， 10 月份零售數據</w:t>
      </w:r>
      <w:proofErr w:type="gramStart"/>
      <w:r w:rsidRPr="00EB1121">
        <w:rPr>
          <w:rFonts w:ascii="標楷體" w:eastAsia="標楷體" w:hAnsi="標楷體" w:hint="eastAsia"/>
          <w:szCs w:val="24"/>
        </w:rPr>
        <w:t>年增僅</w:t>
      </w:r>
      <w:proofErr w:type="gramEnd"/>
      <w:r w:rsidRPr="00EB1121">
        <w:rPr>
          <w:rFonts w:ascii="標楷體" w:eastAsia="標楷體" w:hAnsi="標楷體" w:hint="eastAsia"/>
          <w:szCs w:val="24"/>
        </w:rPr>
        <w:t xml:space="preserve"> 0.1% ，遜於先前市場預估的 0.3% ，而這也是金融危機爆發以來次低的紀錄。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62350"/>
            <wp:effectExtent l="0" t="0" r="0" b="0"/>
            <wp:docPr id="1" name="圖片 1" descr="C:\Users\BLOOMB~1\AppData\Local\Temp\Bloomberg\temp\bfmB8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B8F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148C6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14800"/>
            <wp:effectExtent l="0" t="0" r="0" b="0"/>
            <wp:docPr id="2" name="圖片 2" descr="C:\Users\BLOOMB~1\AppData\Local\Temp\Bloomberg\temp\bfm5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53D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019550"/>
            <wp:effectExtent l="0" t="0" r="0" b="0"/>
            <wp:docPr id="3" name="圖片 3" descr="C:\Users\BLOOMB~1\AppData\Local\Temp\Bloomberg\temp\bfmB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B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790950"/>
            <wp:effectExtent l="0" t="0" r="0" b="0"/>
            <wp:docPr id="4" name="圖片 4" descr="C:\Users\BLOOMB~1\AppData\Local\Temp\Bloomberg\temp\bfm6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6B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57675"/>
            <wp:effectExtent l="0" t="0" r="0" b="0"/>
            <wp:docPr id="5" name="圖片 5" descr="C:\Users\BLOOMB~1\AppData\Local\Temp\Bloomberg\temp\bfmF5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F55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148C6">
        <w:rPr>
          <w:rFonts w:ascii="標楷體" w:eastAsia="標楷體" w:hAnsi="標楷體" w:hint="eastAsia"/>
          <w:b/>
          <w:sz w:val="26"/>
          <w:szCs w:val="26"/>
        </w:rPr>
        <w:t>台灣貿易出口(年比)</w:t>
      </w:r>
    </w:p>
    <w:p w:rsidR="003E13F0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81400"/>
            <wp:effectExtent l="0" t="0" r="0" b="0"/>
            <wp:docPr id="6" name="圖片 6" descr="C:\Users\BLOOMB~1\AppData\Local\Temp\Bloomberg\temp\bfmC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CEC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148C6">
        <w:rPr>
          <w:rFonts w:ascii="標楷體" w:eastAsia="標楷體" w:hAnsi="標楷體" w:hint="eastAsia"/>
          <w:b/>
          <w:sz w:val="26"/>
          <w:szCs w:val="26"/>
        </w:rPr>
        <w:t>中國全國居民消費價格指數年比</w:t>
      </w:r>
    </w:p>
    <w:p w:rsidR="001F2D16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48150"/>
            <wp:effectExtent l="0" t="0" r="0" b="0"/>
            <wp:docPr id="7" name="圖片 7" descr="C:\Users\BLOOMB~1\AppData\Local\Temp\Bloomberg\temp\bfm2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35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840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8400D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48400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48400D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95700"/>
            <wp:effectExtent l="0" t="0" r="0" b="0"/>
            <wp:docPr id="8" name="圖片 8" descr="C:\Users\BLOOMB~1\AppData\Local\Temp\Bloomberg\temp\bfmBF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BF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4840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305300"/>
            <wp:effectExtent l="0" t="0" r="0" b="0"/>
            <wp:docPr id="9" name="圖片 9" descr="C:\Users\BLOOMB~1\AppData\Local\Temp\Bloomberg\temp\bfmD4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D40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B930E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41" w:dyaOrig="10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2pt;height:535.5pt" o:ole="">
            <v:imagedata r:id="rId18" o:title=""/>
          </v:shape>
          <o:OLEObject Type="Embed" ProgID="Excel.Sheet.12" ShapeID="_x0000_i1034" DrawAspect="Content" ObjectID="_150918037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回到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proofErr w:type="gramEnd"/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與月線乖離較大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短線上可能下修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橫盤整理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A04112R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標債後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，利率仍走低。本週五新的10年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A04112R2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發行前交易出籠，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預估對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利率走勢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影響有限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仍舊偏多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空單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量較少，且交易商持續有補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的需求，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研判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利率大漲的機會不大。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預計有英國與美國CPI公布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、美國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10月建築許可與房屋開工、德國11月ZEW景氣判斷指數等。另外，上週五法國遭受嚴重恐怖攻擊，將影響金融市場普遍下跌。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6B5BB4">
        <w:rPr>
          <w:rFonts w:ascii="標楷體" w:eastAsia="標楷體" w:hAnsi="標楷體" w:cs="Arial" w:hint="eastAsia"/>
          <w:color w:val="000000"/>
          <w:kern w:val="0"/>
        </w:rPr>
        <w:t>債市氣氛仍舊偏多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4E2B6D">
        <w:rPr>
          <w:rFonts w:ascii="標楷體" w:eastAsia="標楷體" w:hAnsi="標楷體" w:cs="Arial" w:hint="eastAsia"/>
          <w:color w:val="000000"/>
          <w:kern w:val="0"/>
        </w:rPr>
        <w:t>新10年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交易即將</w:t>
      </w:r>
      <w:r w:rsidR="004E2B6D">
        <w:rPr>
          <w:rFonts w:ascii="標楷體" w:eastAsia="標楷體" w:hAnsi="標楷體" w:cs="Arial" w:hint="eastAsia"/>
          <w:color w:val="000000"/>
          <w:kern w:val="0"/>
        </w:rPr>
        <w:t>上場，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預估在利率低檔，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交易仍舊清淡，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在1.20%上方才較有價值</w:t>
      </w:r>
      <w:r w:rsidR="00AE3CB4">
        <w:rPr>
          <w:rFonts w:ascii="標楷體" w:eastAsia="標楷體" w:hAnsi="標楷體" w:cs="Arial" w:hint="eastAsia"/>
          <w:color w:val="000000"/>
          <w:kern w:val="0"/>
        </w:rPr>
        <w:t>。</w:t>
      </w:r>
      <w:r w:rsidR="004E2B6D">
        <w:rPr>
          <w:rFonts w:ascii="標楷體" w:eastAsia="標楷體" w:hAnsi="標楷體" w:cs="Arial" w:hint="eastAsia"/>
          <w:color w:val="000000"/>
          <w:kern w:val="0"/>
        </w:rPr>
        <w:t>養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E2B6D">
        <w:rPr>
          <w:rFonts w:ascii="標楷體" w:eastAsia="標楷體" w:hAnsi="標楷體" w:cs="Arial" w:hint="eastAsia"/>
          <w:color w:val="000000"/>
          <w:kern w:val="0"/>
        </w:rPr>
        <w:t>須注意</w:t>
      </w:r>
      <w:r w:rsidR="005468CE">
        <w:rPr>
          <w:rFonts w:ascii="標楷體" w:eastAsia="標楷體" w:hAnsi="標楷體" w:cs="Arial" w:hint="eastAsia"/>
          <w:color w:val="000000"/>
          <w:kern w:val="0"/>
        </w:rPr>
        <w:t>風險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4F30EF">
        <w:rPr>
          <w:rFonts w:ascii="標楷體" w:eastAsia="標楷體" w:hAnsi="標楷體" w:cs="Arial" w:hint="eastAsia"/>
          <w:color w:val="000000"/>
          <w:kern w:val="0"/>
        </w:rPr>
        <w:t>1.16%-1.24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436" w:rsidRPr="00877436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635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35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5C18F-C5D0-4B34-95BB-1959E3F7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7</Pages>
  <Words>147</Words>
  <Characters>844</Characters>
  <Application>Microsoft Office Word</Application>
  <DocSecurity>0</DocSecurity>
  <Lines>7</Lines>
  <Paragraphs>1</Paragraphs>
  <ScaleCrop>false</ScaleCrop>
  <Company>大中票券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40</cp:revision>
  <cp:lastPrinted>2015-11-02T02:42:00Z</cp:lastPrinted>
  <dcterms:created xsi:type="dcterms:W3CDTF">2015-07-27T02:06:00Z</dcterms:created>
  <dcterms:modified xsi:type="dcterms:W3CDTF">2015-11-16T04:00:00Z</dcterms:modified>
</cp:coreProperties>
</file>