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386A0B">
        <w:rPr>
          <w:rFonts w:ascii="標楷體" w:eastAsia="標楷體" w:hAnsi="標楷體" w:hint="eastAsia"/>
          <w:b/>
          <w:sz w:val="28"/>
          <w:szCs w:val="28"/>
        </w:rPr>
        <w:t xml:space="preserve">  2015/9/21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DC1096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386A0B">
        <w:rPr>
          <w:rFonts w:ascii="標楷體" w:eastAsia="標楷體" w:hAnsi="標楷體" w:cs="Arial" w:hint="eastAsia"/>
          <w:color w:val="000000"/>
          <w:kern w:val="0"/>
          <w:szCs w:val="24"/>
        </w:rPr>
        <w:t>呈現震盪格局。在FOMC會議前，利率偏向上漲，一度接近2.30%，但FOMC並未升息，市場轉而擔憂全球經濟疲弱程度甚於先前預估，美債利率大跌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E54FF9">
        <w:rPr>
          <w:rFonts w:ascii="標楷體" w:eastAsia="標楷體" w:hAnsi="標楷體" w:cs="Arial" w:hint="eastAsia"/>
          <w:color w:val="000000"/>
          <w:kern w:val="0"/>
          <w:szCs w:val="24"/>
        </w:rPr>
        <w:t>週五</w:t>
      </w:r>
      <w:r w:rsidR="002C006E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2.</w:t>
      </w:r>
      <w:r w:rsidR="00386A0B">
        <w:rPr>
          <w:rFonts w:ascii="標楷體" w:eastAsia="標楷體" w:hAnsi="標楷體" w:cs="Arial" w:hint="eastAsia"/>
          <w:color w:val="000000"/>
          <w:kern w:val="0"/>
          <w:szCs w:val="24"/>
        </w:rPr>
        <w:t>135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10y利率在A04112標售利率1.168%後，走勢上揚，一度逼近1.26%</w:t>
      </w:r>
      <w:r w:rsidR="000641D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但在FOMC未能升息的情況下，台債利率轉為走跌，</w:t>
      </w:r>
      <w:proofErr w:type="gramStart"/>
      <w:r w:rsidR="000641DA">
        <w:rPr>
          <w:rFonts w:ascii="標楷體" w:eastAsia="標楷體" w:hAnsi="標楷體" w:cs="Arial" w:hint="eastAsia"/>
          <w:color w:val="000000"/>
          <w:kern w:val="0"/>
          <w:szCs w:val="24"/>
        </w:rPr>
        <w:t>台灣</w:t>
      </w:r>
      <w:r w:rsidR="00DB1636" w:rsidRPr="00DB1636">
        <w:rPr>
          <w:rFonts w:ascii="標楷體" w:eastAsia="標楷體" w:hAnsi="標楷體" w:cs="Arial" w:hint="eastAsia"/>
          <w:color w:val="000000"/>
          <w:kern w:val="0"/>
          <w:szCs w:val="24"/>
        </w:rPr>
        <w:t>央</w:t>
      </w:r>
      <w:r w:rsidR="000641DA">
        <w:rPr>
          <w:rFonts w:ascii="標楷體" w:eastAsia="標楷體" w:hAnsi="標楷體" w:cs="Arial" w:hint="eastAsia"/>
          <w:color w:val="000000"/>
          <w:kern w:val="0"/>
          <w:szCs w:val="24"/>
        </w:rPr>
        <w:t>亦再</w:t>
      </w:r>
      <w:proofErr w:type="gramEnd"/>
      <w:r w:rsidR="00DB1636" w:rsidRPr="00DB1636">
        <w:rPr>
          <w:rFonts w:ascii="標楷體" w:eastAsia="標楷體" w:hAnsi="標楷體" w:cs="Arial" w:hint="eastAsia"/>
          <w:color w:val="000000"/>
          <w:kern w:val="0"/>
          <w:szCs w:val="24"/>
        </w:rPr>
        <w:t>調降銀行O/N利率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至0.32%。</w:t>
      </w:r>
      <w:r w:rsidR="00DB1636" w:rsidRPr="00DB1636">
        <w:rPr>
          <w:rFonts w:ascii="標楷體" w:eastAsia="標楷體" w:hAnsi="標楷體" w:cs="Arial" w:hint="eastAsia"/>
          <w:color w:val="000000"/>
          <w:kern w:val="0"/>
          <w:szCs w:val="24"/>
        </w:rPr>
        <w:t>市場降息預期</w:t>
      </w:r>
      <w:r w:rsidR="000641DA">
        <w:rPr>
          <w:rFonts w:ascii="標楷體" w:eastAsia="標楷體" w:hAnsi="標楷體" w:cs="Arial" w:hint="eastAsia"/>
          <w:color w:val="000000"/>
          <w:kern w:val="0"/>
          <w:szCs w:val="24"/>
        </w:rPr>
        <w:t>氣氛濃厚</w:t>
      </w:r>
      <w:r w:rsidR="00043DB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上週收盤時，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0.81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1.1888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FA673A" w:rsidP="00F00997">
      <w:pPr>
        <w:widowControl/>
        <w:rPr>
          <w:rFonts w:ascii="標楷體" w:eastAsia="標楷體" w:hAnsi="標楷體"/>
          <w:szCs w:val="24"/>
        </w:rPr>
      </w:pPr>
      <w:r w:rsidRPr="00FA673A">
        <w:rPr>
          <w:rFonts w:ascii="標楷體" w:eastAsia="標楷體" w:hAnsi="標楷體" w:hint="eastAsia"/>
          <w:szCs w:val="24"/>
        </w:rPr>
        <w:t>美國</w:t>
      </w:r>
      <w:r w:rsidR="00386A0B">
        <w:rPr>
          <w:rFonts w:ascii="標楷體" w:eastAsia="標楷體" w:hAnsi="標楷體" w:hint="eastAsia"/>
          <w:szCs w:val="24"/>
        </w:rPr>
        <w:t>FED官員預測</w:t>
      </w:r>
      <w:r w:rsidR="00386A0B" w:rsidRPr="00386A0B">
        <w:rPr>
          <w:rFonts w:ascii="標楷體" w:eastAsia="標楷體" w:hAnsi="標楷體" w:hint="eastAsia"/>
          <w:szCs w:val="24"/>
        </w:rPr>
        <w:t>2015年底的</w:t>
      </w:r>
      <w:proofErr w:type="gramStart"/>
      <w:r w:rsidR="00386A0B" w:rsidRPr="00386A0B">
        <w:rPr>
          <w:rFonts w:ascii="標楷體" w:eastAsia="標楷體" w:hAnsi="標楷體" w:hint="eastAsia"/>
          <w:szCs w:val="24"/>
        </w:rPr>
        <w:t>利率中值預測</w:t>
      </w:r>
      <w:proofErr w:type="gramEnd"/>
      <w:r w:rsidR="00386A0B" w:rsidRPr="00386A0B">
        <w:rPr>
          <w:rFonts w:ascii="標楷體" w:eastAsia="標楷體" w:hAnsi="標楷體" w:hint="eastAsia"/>
          <w:szCs w:val="24"/>
        </w:rPr>
        <w:t>值從6月份的0.625%降至0.375%。2016年底的</w:t>
      </w:r>
      <w:proofErr w:type="gramStart"/>
      <w:r w:rsidR="00386A0B" w:rsidRPr="00386A0B">
        <w:rPr>
          <w:rFonts w:ascii="標楷體" w:eastAsia="標楷體" w:hAnsi="標楷體" w:hint="eastAsia"/>
          <w:szCs w:val="24"/>
        </w:rPr>
        <w:t>利率中值預測</w:t>
      </w:r>
      <w:proofErr w:type="gramEnd"/>
      <w:r w:rsidR="00386A0B" w:rsidRPr="00386A0B">
        <w:rPr>
          <w:rFonts w:ascii="標楷體" w:eastAsia="標楷體" w:hAnsi="標楷體" w:hint="eastAsia"/>
          <w:szCs w:val="24"/>
        </w:rPr>
        <w:t>值從6月份的1.625%降至1.375%。2017年底的</w:t>
      </w:r>
      <w:proofErr w:type="gramStart"/>
      <w:r w:rsidR="00386A0B" w:rsidRPr="00386A0B">
        <w:rPr>
          <w:rFonts w:ascii="標楷體" w:eastAsia="標楷體" w:hAnsi="標楷體" w:hint="eastAsia"/>
          <w:szCs w:val="24"/>
        </w:rPr>
        <w:t>利率中值預測</w:t>
      </w:r>
      <w:proofErr w:type="gramEnd"/>
      <w:r w:rsidR="00386A0B" w:rsidRPr="00386A0B">
        <w:rPr>
          <w:rFonts w:ascii="標楷體" w:eastAsia="標楷體" w:hAnsi="標楷體" w:hint="eastAsia"/>
          <w:szCs w:val="24"/>
        </w:rPr>
        <w:t>值則從6月份的2.875%降至2.625%。美聯儲預測長期聯邦基金利率將升至3.5%，同樣低於之前預期的3.75%。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9405F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24300"/>
            <wp:effectExtent l="0" t="0" r="0" b="0"/>
            <wp:docPr id="1" name="圖片 1" descr="C:\Users\BLOOMB~1\AppData\Local\Temp\Bloomberg\temp\bfm6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624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2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9405F7" w:rsidRDefault="009405F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00500"/>
            <wp:effectExtent l="0" t="0" r="0" b="0"/>
            <wp:docPr id="2" name="圖片 2" descr="C:\Users\BLOOMB~1\AppData\Local\Temp\Bloomberg\temp\bfmF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FE8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9405F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48125"/>
            <wp:effectExtent l="0" t="0" r="0" b="0"/>
            <wp:docPr id="3" name="圖片 3" descr="C:\Users\BLOOMB~1\AppData\Local\Temp\Bloomberg\temp\bfm69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69C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9405F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43325"/>
            <wp:effectExtent l="0" t="0" r="0" b="0"/>
            <wp:docPr id="4" name="圖片 4" descr="C:\Users\BLOOMB~1\AppData\Local\Temp\Bloomberg\temp\bfm14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14F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4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9405F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124325"/>
            <wp:effectExtent l="0" t="0" r="0" b="0"/>
            <wp:docPr id="5" name="圖片 5" descr="C:\Users\BLOOMB~1\AppData\Local\Temp\Bloomberg\temp\bfm9F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9F3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2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Pr="00985EF5" w:rsidRDefault="0021539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21539A">
        <w:rPr>
          <w:rFonts w:ascii="標楷體" w:eastAsia="標楷體" w:hAnsi="標楷體" w:hint="eastAsia"/>
          <w:b/>
          <w:sz w:val="26"/>
          <w:szCs w:val="26"/>
        </w:rPr>
        <w:t>美國密西根大學消費者信心指數同時指標</w:t>
      </w:r>
    </w:p>
    <w:p w:rsidR="003E13F0" w:rsidRDefault="0021539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571875"/>
            <wp:effectExtent l="0" t="0" r="0" b="0"/>
            <wp:docPr id="6" name="圖片 6" descr="C:\Users\BLOOMB~1\AppData\Local\Temp\Bloomberg\temp\bfm51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51C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7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Default="0021539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21539A">
        <w:rPr>
          <w:rFonts w:ascii="標楷體" w:eastAsia="標楷體" w:hAnsi="標楷體" w:hint="eastAsia"/>
          <w:b/>
          <w:sz w:val="26"/>
          <w:szCs w:val="26"/>
        </w:rPr>
        <w:t>歐洲經濟研究中心(ZEW)歐元區預期經濟成長</w:t>
      </w:r>
    </w:p>
    <w:p w:rsidR="001F2D16" w:rsidRDefault="0021539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171950"/>
            <wp:effectExtent l="0" t="0" r="0" b="0"/>
            <wp:docPr id="7" name="圖片 7" descr="C:\Users\BLOOMB~1\AppData\Local\Temp\Bloomberg\temp\bfmC6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C62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7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21539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21539A">
        <w:rPr>
          <w:rFonts w:ascii="標楷體" w:eastAsia="標楷體" w:hAnsi="標楷體" w:hint="eastAsia"/>
          <w:b/>
          <w:sz w:val="26"/>
          <w:szCs w:val="26"/>
        </w:rPr>
        <w:lastRenderedPageBreak/>
        <w:t>歐盟統計局歐元區MUICP所有項目 未經季調(年比)</w:t>
      </w:r>
    </w:p>
    <w:p w:rsidR="002D4BC5" w:rsidRDefault="0021539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33825"/>
            <wp:effectExtent l="0" t="0" r="0" b="0"/>
            <wp:docPr id="8" name="圖片 8" descr="C:\Users\BLOOMB~1\AppData\Local\Temp\Bloomberg\temp\bfmB2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B27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3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21539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29075"/>
            <wp:effectExtent l="0" t="0" r="0" b="0"/>
            <wp:docPr id="9" name="圖片 9" descr="C:\Users\BLOOMB~1\AppData\Local\Temp\Bloomberg\temp\bfm9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903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0025A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617" w:dyaOrig="10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80.75pt;height:531.75pt" o:ole="">
            <v:imagedata r:id="rId18" o:title=""/>
          </v:shape>
          <o:OLEObject Type="Embed" ProgID="Excel.Sheet.12" ShapeID="_x0000_i1034" DrawAspect="Content" ObjectID="_1504342696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600F5C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仍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proofErr w:type="gramStart"/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月均線附近</w:t>
      </w:r>
      <w:proofErr w:type="gramEnd"/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整理，</w:t>
      </w:r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雖然</w:t>
      </w:r>
      <w:proofErr w:type="gramStart"/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月均線趨勢小幅轉上揚</w:t>
      </w:r>
      <w:proofErr w:type="gramEnd"/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，但在FOMC的9月未升息後，市場利率大跌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proofErr w:type="gramStart"/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月均線能否</w:t>
      </w:r>
      <w:proofErr w:type="gramEnd"/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提供指引，待衡量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proofErr w:type="gramStart"/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月均線在</w:t>
      </w:r>
      <w:proofErr w:type="gramEnd"/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A04112標售後，轉為上漲，但是面對FOMC不升息的考驗，</w:t>
      </w:r>
      <w:proofErr w:type="gramStart"/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均線隨時</w:t>
      </w:r>
      <w:proofErr w:type="gramEnd"/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有下彎機會</w:t>
      </w:r>
      <w:r w:rsidR="00785211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55178">
        <w:rPr>
          <w:rFonts w:ascii="標楷體" w:eastAsia="標楷體" w:hAnsi="標楷體" w:cs="Arial" w:hint="eastAsia"/>
          <w:color w:val="000000"/>
          <w:kern w:val="0"/>
          <w:szCs w:val="24"/>
        </w:rPr>
        <w:t>籌碼方面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04823">
        <w:rPr>
          <w:rFonts w:ascii="標楷體" w:eastAsia="標楷體" w:hAnsi="標楷體" w:cs="Arial" w:hint="eastAsia"/>
          <w:color w:val="000000"/>
          <w:kern w:val="0"/>
          <w:szCs w:val="24"/>
        </w:rPr>
        <w:t>郵局</w:t>
      </w:r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在冷</w:t>
      </w:r>
      <w:proofErr w:type="gramStart"/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A04105有買入，</w:t>
      </w:r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lastRenderedPageBreak/>
        <w:t>使市場獲得支撐，壓制10年新</w:t>
      </w:r>
      <w:proofErr w:type="gramStart"/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利率不容易站上1.25%</w:t>
      </w:r>
      <w:r w:rsidR="00F04823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依舊是籌碼勝出</w:t>
      </w:r>
      <w:r w:rsidR="00F05161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01071">
        <w:rPr>
          <w:rFonts w:ascii="標楷體" w:eastAsia="標楷體" w:hAnsi="標楷體" w:cs="Arial" w:hint="eastAsia"/>
          <w:color w:val="000000"/>
          <w:kern w:val="0"/>
          <w:szCs w:val="24"/>
        </w:rPr>
        <w:t>短線上利率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預估在</w:t>
      </w:r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低檔區間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整理</w:t>
      </w:r>
      <w:r w:rsidR="003F35F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70232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CF5396">
        <w:rPr>
          <w:rFonts w:ascii="標楷體" w:eastAsia="標楷體" w:hAnsi="標楷體" w:cs="Arial" w:hint="eastAsia"/>
          <w:color w:val="000000"/>
          <w:kern w:val="0"/>
        </w:rPr>
        <w:t>未來</w:t>
      </w:r>
      <w:r>
        <w:rPr>
          <w:rFonts w:ascii="標楷體" w:eastAsia="標楷體" w:hAnsi="標楷體" w:cs="Arial" w:hint="eastAsia"/>
          <w:color w:val="000000"/>
          <w:kern w:val="0"/>
        </w:rPr>
        <w:t>預計公布</w:t>
      </w:r>
      <w:r w:rsidR="00702322">
        <w:rPr>
          <w:rFonts w:ascii="標楷體" w:eastAsia="標楷體" w:hAnsi="標楷體" w:cs="Arial" w:hint="eastAsia"/>
          <w:color w:val="000000"/>
          <w:kern w:val="0"/>
        </w:rPr>
        <w:t>美國8月成屋銷售、8月耐久財訂單、8月新屋銷售、第二季GDP修正值；法國、德國及歐元區等地9月PMI初值，預估較前次下跌</w:t>
      </w:r>
      <w:r w:rsidR="00EC57B8">
        <w:rPr>
          <w:rFonts w:ascii="標楷體" w:eastAsia="標楷體" w:hAnsi="標楷體" w:cs="Arial" w:hint="eastAsia"/>
          <w:color w:val="000000"/>
          <w:kern w:val="0"/>
        </w:rPr>
        <w:t>。</w:t>
      </w:r>
      <w:r w:rsidR="00702322">
        <w:rPr>
          <w:rFonts w:ascii="標楷體" w:eastAsia="標楷體" w:hAnsi="標楷體" w:cs="Arial" w:hint="eastAsia"/>
          <w:color w:val="000000"/>
          <w:kern w:val="0"/>
        </w:rPr>
        <w:t>另有台灣央行會議，市場對9月的降息預期增高</w:t>
      </w:r>
      <w:r w:rsidR="002D5634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C771D1">
        <w:rPr>
          <w:rFonts w:ascii="標楷體" w:eastAsia="標楷體" w:hAnsi="標楷體" w:cs="Arial" w:hint="eastAsia"/>
          <w:color w:val="000000"/>
          <w:kern w:val="0"/>
        </w:rPr>
        <w:t>目前</w:t>
      </w:r>
      <w:r w:rsidR="00667E29">
        <w:rPr>
          <w:rFonts w:ascii="標楷體" w:eastAsia="標楷體" w:hAnsi="標楷體" w:cs="Arial" w:hint="eastAsia"/>
          <w:color w:val="000000"/>
          <w:kern w:val="0"/>
        </w:rPr>
        <w:t>利率</w:t>
      </w:r>
      <w:r w:rsidR="00702322">
        <w:rPr>
          <w:rFonts w:ascii="標楷體" w:eastAsia="標楷體" w:hAnsi="標楷體" w:cs="Arial" w:hint="eastAsia"/>
          <w:color w:val="000000"/>
          <w:kern w:val="0"/>
        </w:rPr>
        <w:t>走勢反應</w:t>
      </w:r>
      <w:r w:rsidR="005D6A94">
        <w:rPr>
          <w:rFonts w:ascii="標楷體" w:eastAsia="標楷體" w:hAnsi="標楷體" w:cs="Arial" w:hint="eastAsia"/>
          <w:color w:val="000000"/>
          <w:kern w:val="0"/>
        </w:rPr>
        <w:t>央行降息預期</w:t>
      </w:r>
      <w:r w:rsidR="00667E29">
        <w:rPr>
          <w:rFonts w:ascii="標楷體" w:eastAsia="標楷體" w:hAnsi="標楷體" w:cs="Arial" w:hint="eastAsia"/>
          <w:color w:val="000000"/>
          <w:kern w:val="0"/>
        </w:rPr>
        <w:t>，</w:t>
      </w:r>
      <w:r w:rsidR="001C1C2F">
        <w:rPr>
          <w:rFonts w:ascii="標楷體" w:eastAsia="標楷體" w:hAnsi="標楷體" w:cs="Arial" w:hint="eastAsia"/>
          <w:color w:val="000000"/>
          <w:kern w:val="0"/>
        </w:rPr>
        <w:t>債市氣氛</w:t>
      </w:r>
      <w:r w:rsidR="00C040E1">
        <w:rPr>
          <w:rFonts w:ascii="標楷體" w:eastAsia="標楷體" w:hAnsi="標楷體" w:cs="Arial" w:hint="eastAsia"/>
          <w:color w:val="000000"/>
          <w:kern w:val="0"/>
        </w:rPr>
        <w:t>仍屬</w:t>
      </w:r>
      <w:r w:rsidR="001C1C2F">
        <w:rPr>
          <w:rFonts w:ascii="標楷體" w:eastAsia="標楷體" w:hAnsi="標楷體" w:cs="Arial" w:hint="eastAsia"/>
          <w:color w:val="000000"/>
          <w:kern w:val="0"/>
        </w:rPr>
        <w:t>多方</w:t>
      </w:r>
      <w:r w:rsidR="00667E29">
        <w:rPr>
          <w:rFonts w:ascii="標楷體" w:eastAsia="標楷體" w:hAnsi="標楷體" w:cs="Arial" w:hint="eastAsia"/>
          <w:color w:val="000000"/>
          <w:kern w:val="0"/>
        </w:rPr>
        <w:t>，</w:t>
      </w:r>
      <w:r w:rsidR="00702322">
        <w:rPr>
          <w:rFonts w:ascii="標楷體" w:eastAsia="標楷體" w:hAnsi="標楷體" w:cs="Arial" w:hint="eastAsia"/>
          <w:color w:val="000000"/>
          <w:kern w:val="0"/>
        </w:rPr>
        <w:t>只是追價謹慎，利率上檔有郵局支撐，</w:t>
      </w:r>
      <w:r w:rsidR="003C2A2B">
        <w:rPr>
          <w:rFonts w:ascii="標楷體" w:eastAsia="標楷體" w:hAnsi="標楷體" w:cs="Arial" w:hint="eastAsia"/>
          <w:color w:val="000000"/>
          <w:kern w:val="0"/>
        </w:rPr>
        <w:t>尚無反轉信號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。10y利率先看</w:t>
      </w:r>
      <w:r w:rsidR="005D6A94">
        <w:rPr>
          <w:rFonts w:ascii="標楷體" w:eastAsia="標楷體" w:hAnsi="標楷體" w:cs="Arial" w:hint="eastAsia"/>
          <w:color w:val="000000"/>
          <w:kern w:val="0"/>
        </w:rPr>
        <w:t>1.1</w:t>
      </w:r>
      <w:r w:rsidR="00702322">
        <w:rPr>
          <w:rFonts w:ascii="標楷體" w:eastAsia="標楷體" w:hAnsi="標楷體" w:cs="Arial" w:hint="eastAsia"/>
          <w:color w:val="000000"/>
          <w:kern w:val="0"/>
        </w:rPr>
        <w:t>3%-1.23</w:t>
      </w:r>
      <w:r w:rsidR="005D6A94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25A4" w:rsidRPr="000025A4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430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53D6"/>
    <w:rsid w:val="0000634F"/>
    <w:rsid w:val="00007333"/>
    <w:rsid w:val="00007718"/>
    <w:rsid w:val="00007B88"/>
    <w:rsid w:val="00012EDF"/>
    <w:rsid w:val="00017C67"/>
    <w:rsid w:val="00024414"/>
    <w:rsid w:val="000257AC"/>
    <w:rsid w:val="00027472"/>
    <w:rsid w:val="00036ABA"/>
    <w:rsid w:val="00036BCC"/>
    <w:rsid w:val="00037A2E"/>
    <w:rsid w:val="00041C01"/>
    <w:rsid w:val="00043DB2"/>
    <w:rsid w:val="000545A6"/>
    <w:rsid w:val="00056ED9"/>
    <w:rsid w:val="00062224"/>
    <w:rsid w:val="000641DA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10464"/>
    <w:rsid w:val="00110F51"/>
    <w:rsid w:val="00113C88"/>
    <w:rsid w:val="00115520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76304"/>
    <w:rsid w:val="001779B9"/>
    <w:rsid w:val="00177C5F"/>
    <w:rsid w:val="00187FBF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DD1"/>
    <w:rsid w:val="001C5DFA"/>
    <w:rsid w:val="001C68D3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2656"/>
    <w:rsid w:val="0021539A"/>
    <w:rsid w:val="0021769D"/>
    <w:rsid w:val="00225DCF"/>
    <w:rsid w:val="00230E5C"/>
    <w:rsid w:val="0023682B"/>
    <w:rsid w:val="00240929"/>
    <w:rsid w:val="00242E9D"/>
    <w:rsid w:val="00243A76"/>
    <w:rsid w:val="0024414A"/>
    <w:rsid w:val="002464F1"/>
    <w:rsid w:val="00255449"/>
    <w:rsid w:val="00260578"/>
    <w:rsid w:val="002616F5"/>
    <w:rsid w:val="00262185"/>
    <w:rsid w:val="002635D9"/>
    <w:rsid w:val="002708AB"/>
    <w:rsid w:val="00271532"/>
    <w:rsid w:val="0027594E"/>
    <w:rsid w:val="00275CD0"/>
    <w:rsid w:val="00282BED"/>
    <w:rsid w:val="00283AC8"/>
    <w:rsid w:val="00284C70"/>
    <w:rsid w:val="002850E3"/>
    <w:rsid w:val="00287A15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3D16"/>
    <w:rsid w:val="002E474A"/>
    <w:rsid w:val="002E4B38"/>
    <w:rsid w:val="002E4E92"/>
    <w:rsid w:val="002F0DBD"/>
    <w:rsid w:val="002F1A5D"/>
    <w:rsid w:val="002F26C9"/>
    <w:rsid w:val="002F38FC"/>
    <w:rsid w:val="002F4BB0"/>
    <w:rsid w:val="002F70C3"/>
    <w:rsid w:val="00310242"/>
    <w:rsid w:val="0031131A"/>
    <w:rsid w:val="003127E7"/>
    <w:rsid w:val="00313893"/>
    <w:rsid w:val="00314AB7"/>
    <w:rsid w:val="00314E7C"/>
    <w:rsid w:val="003208C7"/>
    <w:rsid w:val="00320D13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7A71"/>
    <w:rsid w:val="003D1701"/>
    <w:rsid w:val="003D2112"/>
    <w:rsid w:val="003D6497"/>
    <w:rsid w:val="003E13F0"/>
    <w:rsid w:val="003E5E79"/>
    <w:rsid w:val="003F1328"/>
    <w:rsid w:val="003F35FA"/>
    <w:rsid w:val="003F41F7"/>
    <w:rsid w:val="003F54FA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6433"/>
    <w:rsid w:val="00450CCA"/>
    <w:rsid w:val="00451645"/>
    <w:rsid w:val="004525CC"/>
    <w:rsid w:val="004557E0"/>
    <w:rsid w:val="00455BF6"/>
    <w:rsid w:val="004604A0"/>
    <w:rsid w:val="0046590A"/>
    <w:rsid w:val="00467DA3"/>
    <w:rsid w:val="0047258F"/>
    <w:rsid w:val="00484E1E"/>
    <w:rsid w:val="004859A6"/>
    <w:rsid w:val="00492151"/>
    <w:rsid w:val="00492D7B"/>
    <w:rsid w:val="004A1B7A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E2520"/>
    <w:rsid w:val="004E2C12"/>
    <w:rsid w:val="004E6255"/>
    <w:rsid w:val="004E7CA7"/>
    <w:rsid w:val="004F2CB4"/>
    <w:rsid w:val="00500B96"/>
    <w:rsid w:val="00503396"/>
    <w:rsid w:val="005064D3"/>
    <w:rsid w:val="00514A99"/>
    <w:rsid w:val="00520190"/>
    <w:rsid w:val="005204FD"/>
    <w:rsid w:val="00521673"/>
    <w:rsid w:val="0052685B"/>
    <w:rsid w:val="00527B88"/>
    <w:rsid w:val="0053090A"/>
    <w:rsid w:val="00530F1D"/>
    <w:rsid w:val="005332BF"/>
    <w:rsid w:val="0053454E"/>
    <w:rsid w:val="00535F1E"/>
    <w:rsid w:val="00540419"/>
    <w:rsid w:val="00542964"/>
    <w:rsid w:val="005437B0"/>
    <w:rsid w:val="0055320E"/>
    <w:rsid w:val="00554370"/>
    <w:rsid w:val="00555BC8"/>
    <w:rsid w:val="0055656A"/>
    <w:rsid w:val="005659B1"/>
    <w:rsid w:val="00567C7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5196"/>
    <w:rsid w:val="005C382F"/>
    <w:rsid w:val="005C3BFF"/>
    <w:rsid w:val="005C4F4E"/>
    <w:rsid w:val="005C54CC"/>
    <w:rsid w:val="005C6664"/>
    <w:rsid w:val="005C67A8"/>
    <w:rsid w:val="005C7E77"/>
    <w:rsid w:val="005D4490"/>
    <w:rsid w:val="005D4C42"/>
    <w:rsid w:val="005D55D4"/>
    <w:rsid w:val="005D5B86"/>
    <w:rsid w:val="005D6A94"/>
    <w:rsid w:val="005E3048"/>
    <w:rsid w:val="005E4492"/>
    <w:rsid w:val="005E733E"/>
    <w:rsid w:val="0060048D"/>
    <w:rsid w:val="0060072D"/>
    <w:rsid w:val="00600F5C"/>
    <w:rsid w:val="00606DD6"/>
    <w:rsid w:val="006126F7"/>
    <w:rsid w:val="006177C6"/>
    <w:rsid w:val="006246B0"/>
    <w:rsid w:val="00632660"/>
    <w:rsid w:val="00636955"/>
    <w:rsid w:val="0063773C"/>
    <w:rsid w:val="00643D43"/>
    <w:rsid w:val="00650B93"/>
    <w:rsid w:val="00655376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4B6D"/>
    <w:rsid w:val="00695F15"/>
    <w:rsid w:val="0069694B"/>
    <w:rsid w:val="006A1B2C"/>
    <w:rsid w:val="006A3BFC"/>
    <w:rsid w:val="006A480E"/>
    <w:rsid w:val="006A5F37"/>
    <w:rsid w:val="006A6663"/>
    <w:rsid w:val="006A6D72"/>
    <w:rsid w:val="006A731E"/>
    <w:rsid w:val="006A7D3C"/>
    <w:rsid w:val="006B153B"/>
    <w:rsid w:val="006B22CC"/>
    <w:rsid w:val="006B640A"/>
    <w:rsid w:val="006C13BA"/>
    <w:rsid w:val="006C57F6"/>
    <w:rsid w:val="006C7C11"/>
    <w:rsid w:val="006D3ED6"/>
    <w:rsid w:val="006D5B9C"/>
    <w:rsid w:val="006E065F"/>
    <w:rsid w:val="006F124E"/>
    <w:rsid w:val="006F2B02"/>
    <w:rsid w:val="006F3005"/>
    <w:rsid w:val="006F58C2"/>
    <w:rsid w:val="006F65F3"/>
    <w:rsid w:val="00702322"/>
    <w:rsid w:val="00711444"/>
    <w:rsid w:val="00713BB1"/>
    <w:rsid w:val="007230E1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D548E"/>
    <w:rsid w:val="007E14A5"/>
    <w:rsid w:val="007E1539"/>
    <w:rsid w:val="007E22E8"/>
    <w:rsid w:val="007F02C4"/>
    <w:rsid w:val="007F15C0"/>
    <w:rsid w:val="007F1877"/>
    <w:rsid w:val="007F3684"/>
    <w:rsid w:val="007F3B28"/>
    <w:rsid w:val="007F6479"/>
    <w:rsid w:val="00800A7C"/>
    <w:rsid w:val="0080691B"/>
    <w:rsid w:val="0081209B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AE5"/>
    <w:rsid w:val="00847E9C"/>
    <w:rsid w:val="00850F26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211E"/>
    <w:rsid w:val="008E23AE"/>
    <w:rsid w:val="008E2C65"/>
    <w:rsid w:val="008E3E99"/>
    <w:rsid w:val="008F1DFA"/>
    <w:rsid w:val="008F32B6"/>
    <w:rsid w:val="008F3FF6"/>
    <w:rsid w:val="008F7A4B"/>
    <w:rsid w:val="009005F8"/>
    <w:rsid w:val="00902833"/>
    <w:rsid w:val="00903B2B"/>
    <w:rsid w:val="00904801"/>
    <w:rsid w:val="00904AE8"/>
    <w:rsid w:val="0090679A"/>
    <w:rsid w:val="00907B8E"/>
    <w:rsid w:val="00910327"/>
    <w:rsid w:val="00915FCF"/>
    <w:rsid w:val="0091640F"/>
    <w:rsid w:val="00920DFF"/>
    <w:rsid w:val="0092495B"/>
    <w:rsid w:val="00924D56"/>
    <w:rsid w:val="0093014D"/>
    <w:rsid w:val="0093519D"/>
    <w:rsid w:val="00935824"/>
    <w:rsid w:val="009405F7"/>
    <w:rsid w:val="00942624"/>
    <w:rsid w:val="009457AE"/>
    <w:rsid w:val="009457F7"/>
    <w:rsid w:val="00951618"/>
    <w:rsid w:val="00953659"/>
    <w:rsid w:val="00955D67"/>
    <w:rsid w:val="0096694B"/>
    <w:rsid w:val="00971AD2"/>
    <w:rsid w:val="00971E49"/>
    <w:rsid w:val="00972144"/>
    <w:rsid w:val="00974238"/>
    <w:rsid w:val="0097496F"/>
    <w:rsid w:val="00975153"/>
    <w:rsid w:val="0097626E"/>
    <w:rsid w:val="00980AE8"/>
    <w:rsid w:val="00981086"/>
    <w:rsid w:val="00985EF5"/>
    <w:rsid w:val="0099533F"/>
    <w:rsid w:val="00995EE4"/>
    <w:rsid w:val="009972DC"/>
    <w:rsid w:val="009A2EE2"/>
    <w:rsid w:val="009A5421"/>
    <w:rsid w:val="009A59E1"/>
    <w:rsid w:val="009A763C"/>
    <w:rsid w:val="009A77A9"/>
    <w:rsid w:val="009B1147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EB"/>
    <w:rsid w:val="009F5659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B0"/>
    <w:rsid w:val="00A1266F"/>
    <w:rsid w:val="00A1548F"/>
    <w:rsid w:val="00A24591"/>
    <w:rsid w:val="00A3433B"/>
    <w:rsid w:val="00A343AE"/>
    <w:rsid w:val="00A35061"/>
    <w:rsid w:val="00A371E6"/>
    <w:rsid w:val="00A4026E"/>
    <w:rsid w:val="00A41755"/>
    <w:rsid w:val="00A41ACD"/>
    <w:rsid w:val="00A46A8B"/>
    <w:rsid w:val="00A471AE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40B7"/>
    <w:rsid w:val="00AD5734"/>
    <w:rsid w:val="00AE46BD"/>
    <w:rsid w:val="00AE5328"/>
    <w:rsid w:val="00AE71F3"/>
    <w:rsid w:val="00AF06EB"/>
    <w:rsid w:val="00AF27A3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382D"/>
    <w:rsid w:val="00B53C8C"/>
    <w:rsid w:val="00B53E68"/>
    <w:rsid w:val="00B56167"/>
    <w:rsid w:val="00B65968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A1540"/>
    <w:rsid w:val="00BA1931"/>
    <w:rsid w:val="00BA1DA9"/>
    <w:rsid w:val="00BA1F68"/>
    <w:rsid w:val="00BA2827"/>
    <w:rsid w:val="00BA31AA"/>
    <w:rsid w:val="00BB3BFB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32"/>
    <w:rsid w:val="00BF3FB0"/>
    <w:rsid w:val="00BF4BF9"/>
    <w:rsid w:val="00BF5DB6"/>
    <w:rsid w:val="00C03D22"/>
    <w:rsid w:val="00C040E1"/>
    <w:rsid w:val="00C04F5A"/>
    <w:rsid w:val="00C068C5"/>
    <w:rsid w:val="00C1000B"/>
    <w:rsid w:val="00C1261F"/>
    <w:rsid w:val="00C13ED8"/>
    <w:rsid w:val="00C149CF"/>
    <w:rsid w:val="00C150DA"/>
    <w:rsid w:val="00C16FFF"/>
    <w:rsid w:val="00C22307"/>
    <w:rsid w:val="00C22CC4"/>
    <w:rsid w:val="00C26E5B"/>
    <w:rsid w:val="00C273D8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3FD"/>
    <w:rsid w:val="00C65330"/>
    <w:rsid w:val="00C6733F"/>
    <w:rsid w:val="00C75696"/>
    <w:rsid w:val="00C771D1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740E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6398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148CC"/>
    <w:rsid w:val="00E14C24"/>
    <w:rsid w:val="00E17BFE"/>
    <w:rsid w:val="00E22A11"/>
    <w:rsid w:val="00E2348D"/>
    <w:rsid w:val="00E343E6"/>
    <w:rsid w:val="00E346F5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5F36"/>
    <w:rsid w:val="00E67E39"/>
    <w:rsid w:val="00E704EF"/>
    <w:rsid w:val="00E712D8"/>
    <w:rsid w:val="00E72F68"/>
    <w:rsid w:val="00E732E4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A3BE3"/>
    <w:rsid w:val="00EB09DA"/>
    <w:rsid w:val="00EB196D"/>
    <w:rsid w:val="00EB1D72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7903"/>
    <w:rsid w:val="00EF15CC"/>
    <w:rsid w:val="00EF2C1B"/>
    <w:rsid w:val="00EF367A"/>
    <w:rsid w:val="00EF501F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21861"/>
    <w:rsid w:val="00F3178D"/>
    <w:rsid w:val="00F31BE1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70F29"/>
    <w:rsid w:val="00F7206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73A"/>
    <w:rsid w:val="00FA6894"/>
    <w:rsid w:val="00FB2C8A"/>
    <w:rsid w:val="00FC0B2F"/>
    <w:rsid w:val="00FC0C79"/>
    <w:rsid w:val="00FC3A4B"/>
    <w:rsid w:val="00FC4B06"/>
    <w:rsid w:val="00FC6C81"/>
    <w:rsid w:val="00FC777C"/>
    <w:rsid w:val="00FD31BB"/>
    <w:rsid w:val="00FE063B"/>
    <w:rsid w:val="00FE0717"/>
    <w:rsid w:val="00FE6D68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3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FF59C-8FAD-4DF2-8378-E318478F1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7</Pages>
  <Words>157</Words>
  <Characters>896</Characters>
  <Application>Microsoft Office Word</Application>
  <DocSecurity>0</DocSecurity>
  <Lines>7</Lines>
  <Paragraphs>2</Paragraphs>
  <ScaleCrop>false</ScaleCrop>
  <Company>大中票券</Company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25</cp:revision>
  <cp:lastPrinted>2015-08-10T03:14:00Z</cp:lastPrinted>
  <dcterms:created xsi:type="dcterms:W3CDTF">2015-07-27T02:06:00Z</dcterms:created>
  <dcterms:modified xsi:type="dcterms:W3CDTF">2015-09-21T04:12:00Z</dcterms:modified>
</cp:coreProperties>
</file>