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F57687" w:rsidRDefault="00915EAB" w:rsidP="008D67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周寬鬆因素為</w:t>
      </w:r>
      <w:r w:rsidR="000F4C1B" w:rsidRPr="00F57687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央行存單屆期6</w:t>
      </w:r>
      <w:r w:rsidR="000F4C1B" w:rsidRPr="00F57687">
        <w:rPr>
          <w:rFonts w:ascii="標楷體" w:eastAsia="標楷體" w:hAnsi="標楷體" w:cs="Times New Roman"/>
          <w:kern w:val="0"/>
          <w:sz w:val="27"/>
          <w:szCs w:val="27"/>
        </w:rPr>
        <w:t>,</w:t>
      </w:r>
      <w:r w:rsidR="000F4C1B" w:rsidRPr="00F57687">
        <w:rPr>
          <w:rFonts w:ascii="標楷體" w:eastAsia="標楷體" w:hAnsi="標楷體" w:cs="Times New Roman" w:hint="eastAsia"/>
          <w:kern w:val="0"/>
          <w:sz w:val="27"/>
          <w:szCs w:val="27"/>
        </w:rPr>
        <w:t>893.7億元以及軍公教薪資撥款，緊縮因素則為</w:t>
      </w:r>
      <w:r w:rsidR="000F4C1B" w:rsidRPr="00F5768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="000F4C1B" w:rsidRPr="00F57687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6922AC" w:rsidRPr="00F57687">
        <w:rPr>
          <w:rFonts w:ascii="標楷體" w:eastAsia="標楷體" w:hAnsi="標楷體" w:hint="eastAsia"/>
          <w:sz w:val="27"/>
          <w:szCs w:val="27"/>
        </w:rPr>
        <w:t>上周</w:t>
      </w:r>
      <w:r w:rsidR="00AB7C85" w:rsidRPr="00F57687">
        <w:rPr>
          <w:rFonts w:ascii="標楷體" w:eastAsia="標楷體" w:hAnsi="標楷體" w:cs="Arial Unicode MS" w:hint="eastAsia"/>
          <w:sz w:val="27"/>
          <w:szCs w:val="27"/>
        </w:rPr>
        <w:t>進入月初，行庫</w:t>
      </w:r>
      <w:r w:rsidR="00AB7C85" w:rsidRPr="00F57687">
        <w:rPr>
          <w:rFonts w:ascii="標楷體" w:eastAsia="標楷體" w:hAnsi="標楷體" w:cs="Arial" w:hint="eastAsia"/>
          <w:bCs/>
          <w:sz w:val="27"/>
          <w:szCs w:val="27"/>
        </w:rPr>
        <w:t>恢復</w:t>
      </w:r>
      <w:r w:rsidR="00AB7C85" w:rsidRPr="00F57687">
        <w:rPr>
          <w:rFonts w:ascii="標楷體" w:eastAsia="標楷體" w:hAnsi="標楷體" w:cs="Arial Unicode MS" w:hint="eastAsia"/>
          <w:sz w:val="27"/>
          <w:szCs w:val="27"/>
        </w:rPr>
        <w:t>拆出操作額度後，拆款市場資金量擴增，加上</w:t>
      </w:r>
      <w:r w:rsidR="00AB7C85" w:rsidRPr="00F57687">
        <w:rPr>
          <w:rFonts w:ascii="標楷體" w:eastAsia="標楷體" w:hAnsi="標楷體" w:cs="Arial" w:hint="eastAsia"/>
          <w:bCs/>
          <w:sz w:val="27"/>
          <w:szCs w:val="27"/>
        </w:rPr>
        <w:t>投信貨幣型基金申購</w:t>
      </w:r>
      <w:r w:rsidR="00AB7C85" w:rsidRPr="00F57687">
        <w:rPr>
          <w:rFonts w:ascii="標楷體" w:eastAsia="標楷體" w:hAnsi="標楷體" w:cs="Arial Unicode MS" w:hint="eastAsia"/>
          <w:sz w:val="27"/>
          <w:szCs w:val="27"/>
        </w:rPr>
        <w:t>回流，整體市場呈現寬</w:t>
      </w:r>
      <w:r w:rsidR="004A542F">
        <w:rPr>
          <w:rFonts w:ascii="標楷體" w:eastAsia="標楷體" w:hAnsi="標楷體" w:cs="Arial Unicode MS" w:hint="eastAsia"/>
          <w:sz w:val="27"/>
          <w:szCs w:val="27"/>
        </w:rPr>
        <w:t>裕</w:t>
      </w:r>
      <w:r w:rsidR="00AB7C85" w:rsidRPr="00F57687">
        <w:rPr>
          <w:rFonts w:ascii="標楷體" w:eastAsia="標楷體" w:hAnsi="標楷體" w:cs="Arial Unicode MS" w:hint="eastAsia"/>
          <w:sz w:val="27"/>
          <w:szCs w:val="27"/>
        </w:rPr>
        <w:t>，旬底</w:t>
      </w:r>
      <w:r w:rsidR="00AB7C85" w:rsidRPr="00F57687">
        <w:rPr>
          <w:rFonts w:ascii="標楷體" w:eastAsia="標楷體" w:hAnsi="標楷體" w:cs="Arial" w:hint="eastAsia"/>
          <w:sz w:val="27"/>
          <w:szCs w:val="27"/>
        </w:rPr>
        <w:t>銀行累計準備正數龐大，</w:t>
      </w:r>
      <w:r w:rsidR="00AB7C85" w:rsidRPr="00F57687">
        <w:rPr>
          <w:rFonts w:ascii="標楷體" w:eastAsia="標楷體" w:hAnsi="標楷體" w:cs="Arial" w:hint="eastAsia"/>
          <w:bCs/>
          <w:sz w:val="27"/>
          <w:szCs w:val="27"/>
        </w:rPr>
        <w:t>短率仍能持穩於低檔</w:t>
      </w:r>
      <w:r w:rsidR="00AB7C85" w:rsidRPr="00F57687">
        <w:rPr>
          <w:rFonts w:ascii="標楷體" w:eastAsia="標楷體" w:hAnsi="標楷體" w:hint="eastAsia"/>
          <w:sz w:val="27"/>
          <w:szCs w:val="27"/>
        </w:rPr>
        <w:t>。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F57687">
        <w:rPr>
          <w:rFonts w:ascii="標楷體" w:eastAsia="標楷體" w:hAnsi="標楷體" w:hint="eastAsia"/>
          <w:bCs/>
          <w:sz w:val="27"/>
          <w:szCs w:val="27"/>
        </w:rPr>
        <w:t>0.</w:t>
      </w:r>
      <w:r w:rsidR="00AB7C85" w:rsidRPr="00F57687">
        <w:rPr>
          <w:rFonts w:ascii="標楷體" w:eastAsia="標楷體" w:hAnsi="標楷體"/>
          <w:bCs/>
          <w:sz w:val="27"/>
          <w:szCs w:val="27"/>
        </w:rPr>
        <w:t>4</w:t>
      </w:r>
      <w:r w:rsidR="00AB7C85" w:rsidRPr="00F57687">
        <w:rPr>
          <w:rFonts w:ascii="標楷體" w:eastAsia="標楷體" w:hAnsi="標楷體" w:hint="eastAsia"/>
          <w:bCs/>
          <w:sz w:val="27"/>
          <w:szCs w:val="27"/>
        </w:rPr>
        <w:t>5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>
        <w:rPr>
          <w:rFonts w:ascii="標楷體" w:eastAsia="標楷體" w:hAnsi="標楷體" w:hint="eastAsia"/>
          <w:bCs/>
          <w:sz w:val="27"/>
          <w:szCs w:val="27"/>
        </w:rPr>
        <w:t>49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9E727A" w:rsidRPr="00F57687">
        <w:rPr>
          <w:rFonts w:ascii="標楷體" w:eastAsia="標楷體" w:hAnsi="標楷體"/>
          <w:bCs/>
          <w:sz w:val="27"/>
          <w:szCs w:val="27"/>
        </w:rPr>
        <w:t>2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%~0.4</w:t>
      </w:r>
      <w:r w:rsidR="00E33358">
        <w:rPr>
          <w:rFonts w:ascii="標楷體" w:eastAsia="標楷體" w:hAnsi="標楷體" w:hint="eastAsia"/>
          <w:bCs/>
          <w:sz w:val="27"/>
          <w:szCs w:val="27"/>
        </w:rPr>
        <w:t>2</w:t>
      </w:r>
      <w:r w:rsidR="008A4B42" w:rsidRPr="00F57687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F57687">
        <w:rPr>
          <w:rFonts w:ascii="標楷體" w:eastAsia="標楷體" w:hAnsi="標楷體" w:hint="eastAsia"/>
          <w:sz w:val="27"/>
          <w:szCs w:val="27"/>
        </w:rPr>
        <w:t>匯率方面，</w:t>
      </w:r>
      <w:r w:rsidR="007542DB" w:rsidRPr="00F57687">
        <w:rPr>
          <w:rFonts w:ascii="標楷體" w:eastAsia="標楷體" w:hAnsi="標楷體" w:hint="eastAsia"/>
          <w:sz w:val="27"/>
          <w:szCs w:val="27"/>
        </w:rPr>
        <w:t>上</w:t>
      </w:r>
      <w:r w:rsidR="007542D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周</w:t>
      </w:r>
      <w:r w:rsidR="007542DB" w:rsidRPr="00F57687">
        <w:rPr>
          <w:rFonts w:ascii="標楷體" w:eastAsia="標楷體" w:hAnsi="標楷體" w:hint="eastAsia"/>
          <w:sz w:val="27"/>
          <w:szCs w:val="27"/>
        </w:rPr>
        <w:t>周初由於</w:t>
      </w:r>
      <w:r w:rsidR="007542DB" w:rsidRPr="00F57687">
        <w:rPr>
          <w:rFonts w:ascii="標楷體" w:eastAsia="標楷體" w:hAnsi="標楷體" w:cs="新細明體"/>
          <w:kern w:val="0"/>
          <w:sz w:val="27"/>
          <w:szCs w:val="27"/>
        </w:rPr>
        <w:t>美國9月升息</w:t>
      </w:r>
      <w:r w:rsidR="00CB3EFF">
        <w:rPr>
          <w:rFonts w:ascii="標楷體" w:eastAsia="標楷體" w:hAnsi="標楷體" w:cs="新細明體" w:hint="eastAsia"/>
          <w:kern w:val="0"/>
          <w:sz w:val="27"/>
          <w:szCs w:val="27"/>
        </w:rPr>
        <w:t>預期</w:t>
      </w:r>
      <w:r w:rsidR="007542DB" w:rsidRPr="00F57687">
        <w:rPr>
          <w:rFonts w:ascii="標楷體" w:eastAsia="標楷體" w:hAnsi="標楷體" w:hint="eastAsia"/>
          <w:sz w:val="27"/>
          <w:szCs w:val="27"/>
        </w:rPr>
        <w:t>走</w:t>
      </w:r>
      <w:r w:rsidR="004D2D47" w:rsidRPr="00F57687">
        <w:rPr>
          <w:rFonts w:ascii="標楷體" w:eastAsia="標楷體" w:hAnsi="標楷體"/>
          <w:sz w:val="27"/>
          <w:szCs w:val="27"/>
        </w:rPr>
        <w:t>升，</w:t>
      </w:r>
      <w:proofErr w:type="gramStart"/>
      <w:r w:rsidR="007542DB" w:rsidRPr="00F57687">
        <w:rPr>
          <w:rFonts w:ascii="標楷體" w:eastAsia="標楷體" w:hAnsi="標楷體" w:cs="新細明體"/>
          <w:kern w:val="0"/>
          <w:sz w:val="27"/>
          <w:szCs w:val="27"/>
        </w:rPr>
        <w:t>亞幣幾乎</w:t>
      </w:r>
      <w:proofErr w:type="gramEnd"/>
      <w:r w:rsidR="007542DB" w:rsidRPr="00F57687">
        <w:rPr>
          <w:rFonts w:ascii="標楷體" w:eastAsia="標楷體" w:hAnsi="標楷體" w:cs="新細明體"/>
          <w:kern w:val="0"/>
          <w:sz w:val="27"/>
          <w:szCs w:val="27"/>
        </w:rPr>
        <w:t>全面</w:t>
      </w:r>
      <w:r w:rsidR="00B727A8" w:rsidRPr="00F57687">
        <w:rPr>
          <w:rFonts w:ascii="標楷體" w:eastAsia="標楷體" w:hAnsi="標楷體" w:hint="eastAsia"/>
          <w:sz w:val="27"/>
          <w:szCs w:val="27"/>
        </w:rPr>
        <w:t>走</w:t>
      </w:r>
      <w:r w:rsidR="007542DB" w:rsidRPr="00F57687">
        <w:rPr>
          <w:rFonts w:ascii="標楷體" w:eastAsia="標楷體" w:hAnsi="標楷體" w:cs="新細明體"/>
          <w:kern w:val="0"/>
          <w:sz w:val="27"/>
          <w:szCs w:val="27"/>
        </w:rPr>
        <w:t>貶</w:t>
      </w:r>
      <w:r w:rsidR="004D2D47" w:rsidRPr="00F57687">
        <w:rPr>
          <w:rFonts w:ascii="標楷體" w:eastAsia="標楷體" w:hAnsi="標楷體" w:hint="eastAsia"/>
          <w:sz w:val="27"/>
          <w:szCs w:val="27"/>
        </w:rPr>
        <w:t>，</w:t>
      </w:r>
      <w:r w:rsidR="000C5C2C" w:rsidRPr="00F57687">
        <w:rPr>
          <w:rFonts w:ascii="標楷體" w:eastAsia="標楷體" w:hAnsi="標楷體"/>
          <w:sz w:val="27"/>
          <w:szCs w:val="27"/>
        </w:rPr>
        <w:t>中國</w:t>
      </w:r>
      <w:r w:rsidR="00410BE7">
        <w:rPr>
          <w:rFonts w:ascii="標楷體" w:eastAsia="標楷體" w:hAnsi="標楷體" w:hint="eastAsia"/>
          <w:sz w:val="27"/>
          <w:szCs w:val="27"/>
        </w:rPr>
        <w:t>人</w:t>
      </w:r>
      <w:r w:rsidR="000C5C2C" w:rsidRPr="00F57687">
        <w:rPr>
          <w:rFonts w:ascii="標楷體" w:eastAsia="標楷體" w:hAnsi="標楷體" w:hint="eastAsia"/>
          <w:sz w:val="27"/>
          <w:szCs w:val="27"/>
        </w:rPr>
        <w:t>行</w:t>
      </w:r>
      <w:r w:rsidR="004D2D47" w:rsidRPr="00F57687">
        <w:rPr>
          <w:rFonts w:ascii="標楷體" w:eastAsia="標楷體" w:hAnsi="標楷體"/>
          <w:sz w:val="27"/>
          <w:szCs w:val="27"/>
        </w:rPr>
        <w:t>為抑制人民幣貶值預期心理，</w:t>
      </w:r>
      <w:r w:rsidR="00956ED2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對</w:t>
      </w:r>
      <w:r w:rsidR="000C5C2C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於</w:t>
      </w:r>
      <w:r w:rsidR="00956ED2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看空人民幣</w:t>
      </w:r>
      <w:r w:rsidR="000C5C2C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之</w:t>
      </w:r>
      <w:r w:rsidR="00956ED2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遠</w:t>
      </w:r>
      <w:proofErr w:type="gramStart"/>
      <w:r w:rsidR="00956ED2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匯</w:t>
      </w:r>
      <w:proofErr w:type="gramEnd"/>
      <w:r w:rsidR="00956ED2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業務祭出</w:t>
      </w:r>
      <w:r w:rsidR="00AF31E1">
        <w:rPr>
          <w:rFonts w:ascii="PMingliu" w:hAnsi="PMingliu" w:cs="Arial"/>
          <w:sz w:val="23"/>
          <w:szCs w:val="23"/>
        </w:rPr>
        <w:t>徵</w:t>
      </w:r>
      <w:r w:rsidR="00956ED2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收準備金做法，</w:t>
      </w:r>
      <w:r w:rsidR="00B64B89">
        <w:rPr>
          <w:rFonts w:ascii="標楷體" w:eastAsia="標楷體" w:hAnsi="標楷體" w:cs="Courier New" w:hint="eastAsia"/>
          <w:kern w:val="0"/>
          <w:sz w:val="27"/>
          <w:szCs w:val="27"/>
        </w:rPr>
        <w:t>對於</w:t>
      </w:r>
      <w:r w:rsidR="004D2D47" w:rsidRPr="00F57687">
        <w:rPr>
          <w:rFonts w:ascii="標楷體" w:eastAsia="標楷體" w:hAnsi="標楷體"/>
          <w:sz w:val="27"/>
          <w:szCs w:val="27"/>
        </w:rPr>
        <w:t>銀行</w:t>
      </w:r>
      <w:proofErr w:type="gramStart"/>
      <w:r w:rsidR="004D2D47" w:rsidRPr="00F57687">
        <w:rPr>
          <w:rFonts w:ascii="標楷體" w:eastAsia="標楷體" w:hAnsi="標楷體"/>
          <w:sz w:val="27"/>
          <w:szCs w:val="27"/>
        </w:rPr>
        <w:t>承作</w:t>
      </w:r>
      <w:proofErr w:type="gramEnd"/>
      <w:r w:rsidR="004D2D47" w:rsidRPr="00F57687">
        <w:rPr>
          <w:rFonts w:ascii="標楷體" w:eastAsia="標楷體" w:hAnsi="標楷體"/>
          <w:sz w:val="27"/>
          <w:szCs w:val="27"/>
        </w:rPr>
        <w:t>遠期外匯交易必須繳交20%的保證金，且</w:t>
      </w:r>
      <w:r w:rsidR="00B64B89">
        <w:rPr>
          <w:rFonts w:ascii="標楷體" w:eastAsia="標楷體" w:hAnsi="標楷體" w:hint="eastAsia"/>
          <w:sz w:val="27"/>
          <w:szCs w:val="27"/>
        </w:rPr>
        <w:t>要</w:t>
      </w:r>
      <w:r w:rsidR="004D2D47" w:rsidRPr="00F57687">
        <w:rPr>
          <w:rFonts w:ascii="標楷體" w:eastAsia="標楷體" w:hAnsi="標楷體"/>
          <w:sz w:val="27"/>
          <w:szCs w:val="27"/>
        </w:rPr>
        <w:t>凍結1</w:t>
      </w:r>
      <w:r w:rsidR="00235430" w:rsidRPr="00F57687">
        <w:rPr>
          <w:rFonts w:ascii="標楷體" w:eastAsia="標楷體" w:hAnsi="標楷體"/>
          <w:sz w:val="27"/>
          <w:szCs w:val="27"/>
        </w:rPr>
        <w:t>年，以降低銀行</w:t>
      </w:r>
      <w:r w:rsidR="00CB3EFF">
        <w:rPr>
          <w:rFonts w:ascii="標楷體" w:eastAsia="標楷體" w:hAnsi="標楷體" w:hint="eastAsia"/>
          <w:sz w:val="27"/>
          <w:szCs w:val="27"/>
        </w:rPr>
        <w:t>購</w:t>
      </w:r>
      <w:r w:rsidR="00235430" w:rsidRPr="00F57687">
        <w:rPr>
          <w:rFonts w:ascii="標楷體" w:eastAsia="標楷體" w:hAnsi="標楷體"/>
          <w:sz w:val="27"/>
          <w:szCs w:val="27"/>
        </w:rPr>
        <w:t>買美元力道</w:t>
      </w:r>
      <w:r w:rsidR="00235430" w:rsidRPr="00F57687">
        <w:rPr>
          <w:rFonts w:ascii="標楷體" w:eastAsia="標楷體" w:hAnsi="標楷體" w:hint="eastAsia"/>
          <w:sz w:val="27"/>
          <w:szCs w:val="27"/>
        </w:rPr>
        <w:t>，</w:t>
      </w:r>
      <w:r w:rsidR="00235430" w:rsidRPr="00F57687">
        <w:rPr>
          <w:rFonts w:ascii="標楷體" w:eastAsia="標楷體" w:hAnsi="標楷體"/>
          <w:sz w:val="27"/>
          <w:szCs w:val="27"/>
        </w:rPr>
        <w:t>受</w:t>
      </w:r>
      <w:r w:rsidR="00CB3EFF">
        <w:rPr>
          <w:rFonts w:ascii="標楷體" w:eastAsia="標楷體" w:hAnsi="標楷體" w:hint="eastAsia"/>
          <w:sz w:val="27"/>
          <w:szCs w:val="27"/>
        </w:rPr>
        <w:t>政策</w:t>
      </w:r>
      <w:r w:rsidR="00235430" w:rsidRPr="00F57687">
        <w:rPr>
          <w:rFonts w:ascii="標楷體" w:eastAsia="標楷體" w:hAnsi="標楷體" w:hint="eastAsia"/>
          <w:sz w:val="27"/>
          <w:szCs w:val="27"/>
        </w:rPr>
        <w:t>面</w:t>
      </w:r>
      <w:r w:rsidR="0048749E" w:rsidRPr="00F57687">
        <w:rPr>
          <w:rFonts w:ascii="標楷體" w:eastAsia="標楷體" w:hAnsi="標楷體" w:hint="eastAsia"/>
          <w:sz w:val="27"/>
          <w:szCs w:val="27"/>
        </w:rPr>
        <w:t>刺激</w:t>
      </w:r>
      <w:r w:rsidR="0048749E" w:rsidRPr="00F57687">
        <w:rPr>
          <w:rFonts w:ascii="標楷體" w:eastAsia="標楷體" w:hAnsi="標楷體"/>
          <w:sz w:val="27"/>
          <w:szCs w:val="27"/>
        </w:rPr>
        <w:t>帶動</w:t>
      </w:r>
      <w:proofErr w:type="gramStart"/>
      <w:r w:rsidR="004D2D47" w:rsidRPr="00F57687">
        <w:rPr>
          <w:rFonts w:ascii="標楷體" w:eastAsia="標楷體" w:hAnsi="標楷體"/>
          <w:sz w:val="27"/>
          <w:szCs w:val="27"/>
        </w:rPr>
        <w:t>人民幣強</w:t>
      </w:r>
      <w:r w:rsidR="00235430" w:rsidRPr="00F57687">
        <w:rPr>
          <w:rFonts w:ascii="標楷體" w:eastAsia="標楷體" w:hAnsi="標楷體" w:hint="eastAsia"/>
          <w:sz w:val="27"/>
          <w:szCs w:val="27"/>
        </w:rPr>
        <w:t>升</w:t>
      </w:r>
      <w:proofErr w:type="gramEnd"/>
      <w:r w:rsidR="00196B88">
        <w:rPr>
          <w:rFonts w:ascii="標楷體" w:eastAsia="標楷體" w:hAnsi="標楷體" w:hint="eastAsia"/>
          <w:sz w:val="27"/>
          <w:szCs w:val="27"/>
        </w:rPr>
        <w:t>，</w:t>
      </w:r>
      <w:r w:rsidR="004D2D47" w:rsidRPr="00F57687">
        <w:rPr>
          <w:rFonts w:ascii="標楷體" w:eastAsia="標楷體" w:hAnsi="標楷體"/>
          <w:sz w:val="27"/>
          <w:szCs w:val="27"/>
        </w:rPr>
        <w:t>並</w:t>
      </w:r>
      <w:r w:rsidR="0048749E" w:rsidRPr="00F57687">
        <w:rPr>
          <w:rFonts w:ascii="標楷體" w:eastAsia="標楷體" w:hAnsi="標楷體"/>
          <w:sz w:val="27"/>
          <w:szCs w:val="27"/>
        </w:rPr>
        <w:t>影響</w:t>
      </w:r>
      <w:proofErr w:type="gramStart"/>
      <w:r w:rsidR="00196B88">
        <w:rPr>
          <w:rFonts w:ascii="標楷體" w:eastAsia="標楷體" w:hAnsi="標楷體" w:hint="eastAsia"/>
          <w:sz w:val="27"/>
          <w:szCs w:val="27"/>
        </w:rPr>
        <w:t>了</w:t>
      </w:r>
      <w:r w:rsidR="004D2D47" w:rsidRPr="00F57687">
        <w:rPr>
          <w:rFonts w:ascii="標楷體" w:eastAsia="標楷體" w:hAnsi="標楷體"/>
          <w:sz w:val="27"/>
          <w:szCs w:val="27"/>
        </w:rPr>
        <w:t>亞幣連袂</w:t>
      </w:r>
      <w:proofErr w:type="gramEnd"/>
      <w:r w:rsidR="004D2D47" w:rsidRPr="00F57687">
        <w:rPr>
          <w:rFonts w:ascii="標楷體" w:eastAsia="標楷體" w:hAnsi="標楷體"/>
          <w:sz w:val="27"/>
          <w:szCs w:val="27"/>
        </w:rPr>
        <w:t>走高，</w:t>
      </w:r>
      <w:r w:rsidR="00B96823" w:rsidRPr="00F57687">
        <w:rPr>
          <w:rFonts w:ascii="標楷體" w:eastAsia="標楷體" w:hAnsi="標楷體" w:hint="eastAsia"/>
          <w:sz w:val="27"/>
          <w:szCs w:val="27"/>
        </w:rPr>
        <w:t>爾後因</w:t>
      </w:r>
      <w:r w:rsidR="00B96823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中國與香港金融市場</w:t>
      </w:r>
      <w:r w:rsidR="00CB4181">
        <w:rPr>
          <w:rFonts w:ascii="標楷體" w:eastAsia="標楷體" w:hAnsi="標楷體" w:cs="Courier New" w:hint="eastAsia"/>
          <w:kern w:val="0"/>
          <w:sz w:val="27"/>
          <w:szCs w:val="27"/>
        </w:rPr>
        <w:t>假期</w:t>
      </w:r>
      <w:r w:rsidR="00B96823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休市，</w:t>
      </w:r>
      <w:r w:rsidR="00F57687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減緩</w:t>
      </w:r>
      <w:proofErr w:type="gramStart"/>
      <w:r w:rsidR="00F57687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對於</w:t>
      </w:r>
      <w:r w:rsidR="00F57687" w:rsidRPr="00F57687">
        <w:rPr>
          <w:rFonts w:ascii="標楷體" w:eastAsia="標楷體" w:hAnsi="標楷體"/>
          <w:sz w:val="27"/>
          <w:szCs w:val="27"/>
        </w:rPr>
        <w:t>亞幣</w:t>
      </w:r>
      <w:r w:rsidR="00F57687" w:rsidRPr="00F57687">
        <w:rPr>
          <w:rFonts w:ascii="標楷體" w:eastAsia="標楷體" w:hAnsi="標楷體" w:hint="eastAsia"/>
          <w:sz w:val="27"/>
          <w:szCs w:val="27"/>
        </w:rPr>
        <w:t>之</w:t>
      </w:r>
      <w:proofErr w:type="gramEnd"/>
      <w:r w:rsidR="00F57687" w:rsidRPr="00F57687">
        <w:rPr>
          <w:rFonts w:ascii="標楷體" w:eastAsia="標楷體" w:hAnsi="標楷體"/>
          <w:sz w:val="27"/>
          <w:szCs w:val="27"/>
        </w:rPr>
        <w:t>連</w:t>
      </w:r>
      <w:r w:rsidR="00F57687" w:rsidRPr="00F57687">
        <w:rPr>
          <w:rFonts w:ascii="標楷體" w:eastAsia="標楷體" w:hAnsi="標楷體" w:hint="eastAsia"/>
          <w:sz w:val="27"/>
          <w:szCs w:val="27"/>
        </w:rPr>
        <w:t>動</w:t>
      </w:r>
      <w:r w:rsidR="00CB4181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E16979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市場</w:t>
      </w:r>
      <w:r w:rsidR="00196B88">
        <w:rPr>
          <w:rFonts w:ascii="標楷體" w:eastAsia="標楷體" w:hAnsi="標楷體" w:cs="Courier New" w:hint="eastAsia"/>
          <w:kern w:val="0"/>
          <w:sz w:val="27"/>
          <w:szCs w:val="27"/>
        </w:rPr>
        <w:t>亦</w:t>
      </w:r>
      <w:r w:rsidR="00E16979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觀望美國</w:t>
      </w:r>
      <w:r w:rsidR="00064310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8月</w:t>
      </w:r>
      <w:r w:rsidR="00B96823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非農</w:t>
      </w:r>
      <w:r w:rsidR="00064310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就業</w:t>
      </w:r>
      <w:r w:rsidR="00CB3EFF">
        <w:rPr>
          <w:rFonts w:ascii="標楷體" w:eastAsia="標楷體" w:hAnsi="標楷體" w:cs="Courier New" w:hint="eastAsia"/>
          <w:kern w:val="0"/>
          <w:sz w:val="27"/>
          <w:szCs w:val="27"/>
        </w:rPr>
        <w:t>數據</w:t>
      </w:r>
      <w:r w:rsidR="00B96823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，新台幣</w:t>
      </w:r>
      <w:r w:rsidR="00CB4181">
        <w:rPr>
          <w:rFonts w:ascii="標楷體" w:eastAsia="標楷體" w:hAnsi="標楷體" w:cs="Courier New" w:hint="eastAsia"/>
          <w:kern w:val="0"/>
          <w:sz w:val="27"/>
          <w:szCs w:val="27"/>
        </w:rPr>
        <w:t>暫</w:t>
      </w:r>
      <w:r w:rsidR="00E16979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恢復</w:t>
      </w:r>
      <w:r w:rsidR="00F57687" w:rsidRPr="00F57687">
        <w:rPr>
          <w:rFonts w:ascii="標楷體" w:eastAsia="標楷體" w:hAnsi="標楷體" w:cs="Courier New" w:hint="eastAsia"/>
          <w:kern w:val="0"/>
          <w:sz w:val="27"/>
          <w:szCs w:val="27"/>
        </w:rPr>
        <w:t>盤整格局</w:t>
      </w:r>
      <w:r w:rsidR="002F63BD" w:rsidRPr="00F57687">
        <w:rPr>
          <w:rFonts w:ascii="標楷體" w:eastAsia="標楷體" w:hAnsi="標楷體" w:hint="eastAsia"/>
          <w:sz w:val="27"/>
          <w:szCs w:val="27"/>
        </w:rPr>
        <w:t>，</w:t>
      </w:r>
      <w:r w:rsidR="00F57687" w:rsidRPr="00F5768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F57687" w:rsidRPr="00F576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F63BD" w:rsidRPr="00F57687">
        <w:rPr>
          <w:rFonts w:ascii="標楷體" w:eastAsia="標楷體" w:hAnsi="標楷體" w:hint="eastAsia"/>
          <w:sz w:val="27"/>
          <w:szCs w:val="27"/>
        </w:rPr>
        <w:t>成交區間落在32.</w:t>
      </w:r>
      <w:r w:rsidR="00CB4181">
        <w:rPr>
          <w:rFonts w:ascii="標楷體" w:eastAsia="標楷體" w:hAnsi="標楷體" w:hint="eastAsia"/>
          <w:sz w:val="27"/>
          <w:szCs w:val="27"/>
        </w:rPr>
        <w:t>315~32.820</w:t>
      </w:r>
      <w:r w:rsidR="002F63BD" w:rsidRPr="00F57687">
        <w:rPr>
          <w:rFonts w:ascii="標楷體" w:eastAsia="標楷體" w:hAnsi="標楷體" w:hint="eastAsia"/>
          <w:sz w:val="27"/>
          <w:szCs w:val="27"/>
        </w:rPr>
        <w:t>。</w:t>
      </w:r>
      <w:r w:rsidR="00991E80" w:rsidRPr="00F57687">
        <w:rPr>
          <w:rFonts w:ascii="標楷體" w:eastAsia="標楷體" w:hAnsi="標楷體" w:cs="Courier New"/>
          <w:sz w:val="27"/>
          <w:szCs w:val="27"/>
        </w:rPr>
        <w:t xml:space="preserve"> </w:t>
      </w:r>
    </w:p>
    <w:p w:rsidR="00FF54DD" w:rsidRPr="001B2468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344255" w:rsidRPr="00C85E89" w:rsidRDefault="00220DAB" w:rsidP="009E727A">
      <w:pPr>
        <w:widowControl/>
        <w:spacing w:after="300" w:line="384" w:lineRule="atLeast"/>
        <w:jc w:val="both"/>
        <w:rPr>
          <w:rFonts w:ascii="標楷體" w:eastAsia="標楷體" w:hAnsi="標楷體"/>
          <w:sz w:val="27"/>
          <w:szCs w:val="27"/>
        </w:rPr>
      </w:pP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本周寬鬆因素為</w:t>
      </w:r>
      <w:r w:rsidR="009E727A" w:rsidRPr="009E727A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533CC7">
        <w:rPr>
          <w:rFonts w:ascii="標楷體" w:eastAsia="標楷體" w:hAnsi="標楷體" w:cs="Times New Roman" w:hint="eastAsia"/>
          <w:kern w:val="0"/>
          <w:sz w:val="27"/>
          <w:szCs w:val="27"/>
        </w:rPr>
        <w:t>14</w:t>
      </w:r>
      <w:r w:rsidR="009E727A" w:rsidRPr="009E727A">
        <w:rPr>
          <w:rFonts w:ascii="標楷體" w:eastAsia="標楷體" w:hAnsi="標楷體" w:cs="Times New Roman"/>
          <w:kern w:val="0"/>
          <w:sz w:val="27"/>
          <w:szCs w:val="27"/>
        </w:rPr>
        <w:t>,</w:t>
      </w:r>
      <w:r w:rsidR="00533CC7">
        <w:rPr>
          <w:rFonts w:ascii="標楷體" w:eastAsia="標楷體" w:hAnsi="標楷體" w:cs="Times New Roman" w:hint="eastAsia"/>
          <w:kern w:val="0"/>
          <w:sz w:val="27"/>
          <w:szCs w:val="27"/>
        </w:rPr>
        <w:t>930</w:t>
      </w:r>
      <w:r w:rsidR="009E727A" w:rsidRPr="009E727A">
        <w:rPr>
          <w:rFonts w:ascii="標楷體" w:eastAsia="標楷體" w:hAnsi="標楷體" w:cs="Times New Roman" w:hint="eastAsia"/>
          <w:kern w:val="0"/>
          <w:sz w:val="27"/>
          <w:szCs w:val="27"/>
        </w:rPr>
        <w:t>.7億元</w:t>
      </w:r>
      <w:proofErr w:type="gramStart"/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以及央債還本</w:t>
      </w:r>
      <w:proofErr w:type="gramEnd"/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付息</w:t>
      </w:r>
      <w:r w:rsidR="00EC358A">
        <w:rPr>
          <w:rFonts w:ascii="標楷體" w:eastAsia="標楷體" w:hAnsi="標楷體" w:cs="新細明體" w:hint="eastAsia"/>
          <w:kern w:val="0"/>
          <w:sz w:val="27"/>
          <w:szCs w:val="27"/>
        </w:rPr>
        <w:t>41</w:t>
      </w:r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.</w:t>
      </w:r>
      <w:r w:rsidR="00EC358A">
        <w:rPr>
          <w:rFonts w:ascii="標楷體" w:eastAsia="標楷體" w:hAnsi="標楷體" w:cs="新細明體" w:hint="eastAsia"/>
          <w:kern w:val="0"/>
          <w:sz w:val="27"/>
          <w:szCs w:val="27"/>
        </w:rPr>
        <w:t>73</w:t>
      </w:r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75億元，緊縮因素則為央行</w:t>
      </w:r>
      <w:r w:rsidR="00EC358A">
        <w:rPr>
          <w:rFonts w:ascii="標楷體" w:eastAsia="標楷體" w:hAnsi="標楷體" w:hint="eastAsia"/>
          <w:color w:val="000000"/>
          <w:sz w:val="27"/>
          <w:szCs w:val="27"/>
        </w:rPr>
        <w:t>364天</w:t>
      </w:r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期定存單</w:t>
      </w:r>
      <w:r w:rsidR="00EC358A">
        <w:rPr>
          <w:rFonts w:ascii="標楷體" w:eastAsia="標楷體" w:hAnsi="標楷體" w:hint="eastAsia"/>
          <w:color w:val="000000"/>
          <w:sz w:val="27"/>
          <w:szCs w:val="27"/>
        </w:rPr>
        <w:t>1,500</w:t>
      </w:r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億元交割、</w:t>
      </w:r>
      <w:r w:rsidR="00EC358A">
        <w:rPr>
          <w:rFonts w:ascii="標楷體" w:eastAsia="標楷體" w:hAnsi="標楷體" w:cs="新細明體" w:hint="eastAsia"/>
          <w:kern w:val="0"/>
          <w:sz w:val="27"/>
          <w:szCs w:val="27"/>
        </w:rPr>
        <w:t>1</w:t>
      </w:r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0年公債3</w:t>
      </w:r>
      <w:r w:rsidR="00EC358A">
        <w:rPr>
          <w:rFonts w:ascii="標楷體" w:eastAsia="標楷體" w:hAnsi="標楷體" w:cs="新細明體" w:hint="eastAsia"/>
          <w:kern w:val="0"/>
          <w:sz w:val="27"/>
          <w:szCs w:val="27"/>
        </w:rPr>
        <w:t>5</w:t>
      </w:r>
      <w:r w:rsidR="00EC358A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0億元交割以及</w:t>
      </w:r>
      <w:r w:rsidR="00EC358A"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="00EC358A" w:rsidRPr="00220DAB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E727A" w:rsidRPr="00DB068D">
        <w:rPr>
          <w:rFonts w:ascii="標楷體" w:eastAsia="標楷體" w:hAnsi="標楷體" w:cs="Arial" w:hint="eastAsia"/>
          <w:kern w:val="0"/>
          <w:sz w:val="27"/>
          <w:szCs w:val="27"/>
        </w:rPr>
        <w:t>展望本周，</w:t>
      </w:r>
      <w:r w:rsidR="00355F23">
        <w:rPr>
          <w:rFonts w:ascii="標楷體" w:eastAsia="標楷體" w:hAnsi="標楷體" w:cs="Arial" w:hint="eastAsia"/>
          <w:sz w:val="27"/>
          <w:szCs w:val="27"/>
        </w:rPr>
        <w:t>由於</w:t>
      </w:r>
      <w:r w:rsidR="007E0D37" w:rsidRPr="001C16FF">
        <w:rPr>
          <w:rFonts w:ascii="標楷體" w:eastAsia="標楷體" w:hAnsi="標楷體" w:cs="Arial" w:hint="eastAsia"/>
          <w:sz w:val="27"/>
          <w:szCs w:val="27"/>
        </w:rPr>
        <w:t>近期利率走低，市場普遍抱持月底央行可能降息預期，</w:t>
      </w:r>
      <w:r w:rsidR="00327812" w:rsidRPr="001C16FF">
        <w:rPr>
          <w:rFonts w:ascii="標楷體" w:eastAsia="標楷體" w:hAnsi="標楷體" w:cs="Arial" w:hint="eastAsia"/>
          <w:sz w:val="27"/>
          <w:szCs w:val="27"/>
        </w:rPr>
        <w:t>進入新提存期</w:t>
      </w:r>
      <w:r w:rsidR="00DB068D">
        <w:rPr>
          <w:rFonts w:ascii="標楷體" w:eastAsia="標楷體" w:hAnsi="標楷體" w:cs="Arial" w:hint="eastAsia"/>
          <w:sz w:val="27"/>
          <w:szCs w:val="27"/>
        </w:rPr>
        <w:t>之際</w:t>
      </w:r>
      <w:r w:rsidR="00327812" w:rsidRPr="001C16FF">
        <w:rPr>
          <w:rFonts w:ascii="標楷體" w:eastAsia="標楷體" w:hAnsi="標楷體" w:cs="Arial" w:hint="eastAsia"/>
          <w:sz w:val="27"/>
          <w:szCs w:val="27"/>
        </w:rPr>
        <w:t>，</w:t>
      </w:r>
      <w:proofErr w:type="gramStart"/>
      <w:r w:rsidR="007E0D37" w:rsidRPr="001C16FF">
        <w:rPr>
          <w:rFonts w:ascii="標楷體" w:eastAsia="標楷體" w:hAnsi="標楷體" w:cs="Arial" w:hint="eastAsia"/>
          <w:sz w:val="27"/>
          <w:szCs w:val="27"/>
        </w:rPr>
        <w:t>銀行間</w:t>
      </w:r>
      <w:r w:rsidR="00695310">
        <w:rPr>
          <w:rFonts w:ascii="標楷體" w:eastAsia="標楷體" w:hAnsi="標楷體" w:cs="Arial" w:hint="eastAsia"/>
          <w:sz w:val="27"/>
          <w:szCs w:val="27"/>
        </w:rPr>
        <w:t>仍</w:t>
      </w:r>
      <w:r w:rsidR="007E0D37" w:rsidRPr="001C16FF">
        <w:rPr>
          <w:rFonts w:ascii="標楷體" w:eastAsia="標楷體" w:hAnsi="標楷體" w:cs="Arial" w:hint="eastAsia"/>
          <w:sz w:val="27"/>
          <w:szCs w:val="27"/>
        </w:rPr>
        <w:t>可能</w:t>
      </w:r>
      <w:proofErr w:type="gramEnd"/>
      <w:r w:rsidR="006C0D5A">
        <w:rPr>
          <w:rFonts w:ascii="標楷體" w:eastAsia="標楷體" w:hAnsi="標楷體" w:cs="Arial" w:hint="eastAsia"/>
          <w:sz w:val="27"/>
          <w:szCs w:val="27"/>
        </w:rPr>
        <w:t>積極</w:t>
      </w:r>
      <w:r w:rsidR="007E0D37" w:rsidRPr="001C16FF">
        <w:rPr>
          <w:rFonts w:ascii="標楷體" w:eastAsia="標楷體" w:hAnsi="標楷體" w:cs="Arial" w:hint="eastAsia"/>
          <w:sz w:val="27"/>
          <w:szCs w:val="27"/>
        </w:rPr>
        <w:t>搶票，以規避本月月底收益降低之風險，</w:t>
      </w:r>
      <w:r w:rsidR="00695310">
        <w:rPr>
          <w:rFonts w:ascii="標楷體" w:eastAsia="標楷體" w:hAnsi="標楷體" w:cs="Arial" w:hint="eastAsia"/>
          <w:sz w:val="27"/>
          <w:szCs w:val="27"/>
        </w:rPr>
        <w:t>短</w:t>
      </w:r>
      <w:r w:rsidR="00355F23">
        <w:rPr>
          <w:rFonts w:ascii="標楷體" w:eastAsia="標楷體" w:hAnsi="標楷體" w:cs="Arial" w:hint="eastAsia"/>
          <w:sz w:val="27"/>
          <w:szCs w:val="27"/>
        </w:rPr>
        <w:t>率</w:t>
      </w:r>
      <w:r w:rsidR="00F1430A">
        <w:rPr>
          <w:rFonts w:ascii="標楷體" w:eastAsia="標楷體" w:hAnsi="標楷體" w:cs="Arial" w:hint="eastAsia"/>
          <w:sz w:val="27"/>
          <w:szCs w:val="27"/>
        </w:rPr>
        <w:t>應</w:t>
      </w:r>
      <w:r w:rsidR="00355F23">
        <w:rPr>
          <w:rFonts w:ascii="標楷體" w:eastAsia="標楷體" w:hAnsi="標楷體" w:cs="Arial" w:hint="eastAsia"/>
          <w:sz w:val="27"/>
          <w:szCs w:val="27"/>
        </w:rPr>
        <w:t>尚有下滑</w:t>
      </w:r>
      <w:r w:rsidR="00F1430A">
        <w:rPr>
          <w:rFonts w:ascii="標楷體" w:eastAsia="標楷體" w:hAnsi="標楷體" w:cs="Arial" w:hint="eastAsia"/>
          <w:sz w:val="27"/>
          <w:szCs w:val="27"/>
        </w:rPr>
        <w:t>機會</w:t>
      </w:r>
      <w:r w:rsidR="00355F23">
        <w:rPr>
          <w:rFonts w:ascii="標楷體" w:eastAsia="標楷體" w:hAnsi="標楷體" w:cs="Arial" w:hint="eastAsia"/>
          <w:sz w:val="27"/>
          <w:szCs w:val="27"/>
        </w:rPr>
        <w:t>，</w:t>
      </w:r>
      <w:proofErr w:type="gramStart"/>
      <w:r w:rsidR="00695310">
        <w:rPr>
          <w:rFonts w:ascii="標楷體" w:eastAsia="標楷體" w:hAnsi="標楷體" w:cs="Arial" w:hint="eastAsia"/>
          <w:sz w:val="27"/>
          <w:szCs w:val="27"/>
        </w:rPr>
        <w:t>此外，</w:t>
      </w:r>
      <w:proofErr w:type="gramEnd"/>
      <w:r w:rsidR="007E0D37" w:rsidRPr="001C16FF">
        <w:rPr>
          <w:rFonts w:ascii="標楷體" w:eastAsia="標楷體" w:hAnsi="標楷體" w:cs="Arial" w:hint="eastAsia"/>
          <w:sz w:val="27"/>
          <w:szCs w:val="27"/>
        </w:rPr>
        <w:t>股市</w:t>
      </w:r>
      <w:r w:rsidR="001F1460">
        <w:rPr>
          <w:rFonts w:ascii="標楷體" w:eastAsia="標楷體" w:hAnsi="標楷體" w:cs="Arial" w:hint="eastAsia"/>
          <w:sz w:val="27"/>
          <w:szCs w:val="27"/>
        </w:rPr>
        <w:t>成交量縮</w:t>
      </w:r>
      <w:r w:rsidR="007E0D37" w:rsidRPr="001C16FF">
        <w:rPr>
          <w:rFonts w:ascii="標楷體" w:eastAsia="標楷體" w:hAnsi="標楷體" w:cs="Arial" w:hint="eastAsia"/>
          <w:sz w:val="27"/>
          <w:szCs w:val="27"/>
        </w:rPr>
        <w:t>，</w:t>
      </w:r>
      <w:r w:rsidR="00803812">
        <w:rPr>
          <w:rFonts w:ascii="標楷體" w:eastAsia="標楷體" w:hAnsi="標楷體" w:cs="Arial" w:hint="eastAsia"/>
          <w:sz w:val="27"/>
          <w:szCs w:val="27"/>
        </w:rPr>
        <w:t>亦</w:t>
      </w:r>
      <w:r w:rsidR="0011629E">
        <w:rPr>
          <w:rFonts w:ascii="標楷體" w:eastAsia="標楷體" w:hAnsi="標楷體" w:cs="Arial" w:hint="eastAsia"/>
          <w:sz w:val="27"/>
          <w:szCs w:val="27"/>
        </w:rPr>
        <w:t>有助</w:t>
      </w:r>
      <w:r w:rsidR="001F1460">
        <w:rPr>
          <w:rFonts w:ascii="標楷體" w:eastAsia="標楷體" w:hAnsi="標楷體" w:cs="Arial" w:hint="eastAsia"/>
          <w:sz w:val="27"/>
          <w:szCs w:val="27"/>
        </w:rPr>
        <w:t>維繫</w:t>
      </w:r>
      <w:r w:rsidR="007E0D37" w:rsidRPr="001C16FF">
        <w:rPr>
          <w:rFonts w:ascii="標楷體" w:eastAsia="標楷體" w:hAnsi="標楷體" w:cs="Arial" w:hint="eastAsia"/>
          <w:sz w:val="27"/>
          <w:szCs w:val="27"/>
        </w:rPr>
        <w:t>市場資金</w:t>
      </w:r>
      <w:r w:rsidR="001F1460">
        <w:rPr>
          <w:rFonts w:ascii="標楷體" w:eastAsia="標楷體" w:hAnsi="標楷體" w:cs="Arial" w:hint="eastAsia"/>
          <w:sz w:val="27"/>
          <w:szCs w:val="27"/>
        </w:rPr>
        <w:t>持穩於高</w:t>
      </w:r>
      <w:r w:rsidR="0011629E">
        <w:rPr>
          <w:rFonts w:ascii="標楷體" w:eastAsia="標楷體" w:hAnsi="標楷體" w:cs="Arial" w:hint="eastAsia"/>
          <w:sz w:val="27"/>
          <w:szCs w:val="27"/>
        </w:rPr>
        <w:t>水位</w:t>
      </w:r>
      <w:r w:rsidR="007E0D37" w:rsidRPr="001C16FF">
        <w:rPr>
          <w:rFonts w:ascii="標楷體" w:eastAsia="標楷體" w:hAnsi="標楷體" w:cs="Arial" w:hint="eastAsia"/>
          <w:sz w:val="27"/>
          <w:szCs w:val="27"/>
        </w:rPr>
        <w:t>。</w:t>
      </w:r>
      <w:r w:rsidR="009E727A" w:rsidRPr="00DB068D">
        <w:rPr>
          <w:rFonts w:ascii="標楷體" w:eastAsia="標楷體" w:hAnsi="標楷體" w:cs="Arial" w:hint="eastAsia"/>
          <w:kern w:val="0"/>
          <w:sz w:val="27"/>
          <w:szCs w:val="27"/>
        </w:rPr>
        <w:t>交易部</w:t>
      </w:r>
      <w:r w:rsidR="00327812" w:rsidRPr="00DB068D">
        <w:rPr>
          <w:rFonts w:ascii="標楷體" w:eastAsia="標楷體" w:hAnsi="標楷體" w:cs="Arial" w:hint="eastAsia"/>
          <w:kern w:val="0"/>
          <w:sz w:val="27"/>
          <w:szCs w:val="27"/>
        </w:rPr>
        <w:t>操作</w:t>
      </w:r>
      <w:r w:rsidR="003C20A7">
        <w:rPr>
          <w:rFonts w:ascii="標楷體" w:eastAsia="標楷體" w:hAnsi="標楷體" w:cs="Arial" w:hint="eastAsia"/>
          <w:kern w:val="0"/>
          <w:sz w:val="27"/>
          <w:szCs w:val="27"/>
        </w:rPr>
        <w:t>策略上</w:t>
      </w:r>
      <w:r w:rsidR="0011629E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1030F8" w:rsidRPr="001030F8">
        <w:rPr>
          <w:rFonts w:ascii="標楷體" w:eastAsia="標楷體" w:hAnsi="標楷體" w:cs="Arial" w:hint="eastAsia"/>
          <w:kern w:val="0"/>
          <w:sz w:val="27"/>
          <w:szCs w:val="27"/>
        </w:rPr>
        <w:t>主要</w:t>
      </w:r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將</w:t>
      </w:r>
      <w:r w:rsidR="00DB068D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優先</w:t>
      </w:r>
      <w:r w:rsidR="00DB068D">
        <w:rPr>
          <w:rFonts w:ascii="標楷體" w:eastAsia="標楷體" w:hAnsi="標楷體" w:cs="Arial" w:hint="eastAsia"/>
          <w:bCs/>
          <w:kern w:val="0"/>
          <w:sz w:val="27"/>
          <w:szCs w:val="27"/>
        </w:rPr>
        <w:t>拆入</w:t>
      </w:r>
      <w:r w:rsidR="001030F8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便宜</w:t>
      </w:r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拆款為主，並</w:t>
      </w:r>
      <w:proofErr w:type="gramStart"/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承作</w:t>
      </w:r>
      <w:proofErr w:type="gramEnd"/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利率</w:t>
      </w:r>
      <w:r w:rsidR="001030F8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偏</w:t>
      </w:r>
      <w:r w:rsidR="009E727A" w:rsidRPr="001030F8">
        <w:rPr>
          <w:rFonts w:ascii="標楷體" w:eastAsia="標楷體" w:hAnsi="標楷體" w:cs="Arial" w:hint="eastAsia"/>
          <w:bCs/>
          <w:kern w:val="0"/>
          <w:sz w:val="27"/>
          <w:szCs w:val="27"/>
        </w:rPr>
        <w:t>低或可跨季底之短票。</w:t>
      </w:r>
      <w:r w:rsidR="00366E26" w:rsidRPr="00027912">
        <w:rPr>
          <w:rFonts w:ascii="標楷體" w:eastAsia="標楷體" w:hAnsi="標楷體" w:hint="eastAsia"/>
          <w:sz w:val="27"/>
          <w:szCs w:val="27"/>
        </w:rPr>
        <w:t>匯率方面，</w:t>
      </w:r>
      <w:r w:rsidR="00344255" w:rsidRPr="00366E26">
        <w:rPr>
          <w:rFonts w:ascii="標楷體" w:eastAsia="標楷體" w:hAnsi="標楷體" w:hint="eastAsia"/>
          <w:sz w:val="27"/>
          <w:szCs w:val="27"/>
        </w:rPr>
        <w:t>上周五</w:t>
      </w:r>
      <w:r w:rsidR="00344255" w:rsidRPr="00366E26">
        <w:rPr>
          <w:rFonts w:ascii="標楷體" w:eastAsia="標楷體" w:hAnsi="標楷體" w:cs="Arial"/>
          <w:sz w:val="27"/>
          <w:szCs w:val="27"/>
        </w:rPr>
        <w:t>美國公布數據顯示</w:t>
      </w:r>
      <w:r w:rsidR="00344255" w:rsidRPr="00366E26">
        <w:rPr>
          <w:rFonts w:ascii="標楷體" w:eastAsia="標楷體" w:hAnsi="標楷體" w:cs="Arial" w:hint="eastAsia"/>
          <w:sz w:val="27"/>
          <w:szCs w:val="27"/>
        </w:rPr>
        <w:t>：</w:t>
      </w:r>
      <w:r w:rsidR="0022766E" w:rsidRPr="00366E26">
        <w:rPr>
          <w:rFonts w:ascii="標楷體" w:eastAsia="標楷體" w:hAnsi="標楷體" w:cs="Arial"/>
          <w:sz w:val="27"/>
          <w:szCs w:val="27"/>
        </w:rPr>
        <w:t>美國</w:t>
      </w:r>
      <w:r w:rsidR="00344255" w:rsidRPr="00366E26">
        <w:rPr>
          <w:rFonts w:ascii="標楷體" w:eastAsia="標楷體" w:hAnsi="標楷體" w:cs="Arial"/>
          <w:sz w:val="27"/>
          <w:szCs w:val="27"/>
        </w:rPr>
        <w:t>8月新增就業17.3萬人，大幅低於市場預期</w:t>
      </w:r>
      <w:r w:rsidR="00344255" w:rsidRPr="00366E26">
        <w:rPr>
          <w:rFonts w:ascii="標楷體" w:eastAsia="標楷體" w:hAnsi="標楷體" w:cs="Arial" w:hint="eastAsia"/>
          <w:sz w:val="27"/>
          <w:szCs w:val="27"/>
        </w:rPr>
        <w:t>，</w:t>
      </w:r>
      <w:r w:rsidR="00344255" w:rsidRPr="00366E26">
        <w:rPr>
          <w:rFonts w:ascii="標楷體" w:eastAsia="標楷體" w:hAnsi="標楷體" w:cs="Arial"/>
          <w:sz w:val="27"/>
          <w:szCs w:val="27"/>
        </w:rPr>
        <w:t>美國聯準會本月稍後是否升息，仍不確定</w:t>
      </w:r>
      <w:r w:rsidR="00344255" w:rsidRPr="00366E26">
        <w:rPr>
          <w:rFonts w:ascii="標楷體" w:eastAsia="標楷體" w:hAnsi="標楷體" w:cs="Arial" w:hint="eastAsia"/>
          <w:sz w:val="27"/>
          <w:szCs w:val="27"/>
        </w:rPr>
        <w:t>，</w:t>
      </w:r>
      <w:r w:rsidR="00344255" w:rsidRPr="00366E26">
        <w:rPr>
          <w:rFonts w:ascii="標楷體" w:eastAsia="標楷體" w:hAnsi="標楷體" w:cs="Arial"/>
          <w:sz w:val="27"/>
          <w:szCs w:val="27"/>
        </w:rPr>
        <w:t>美元</w:t>
      </w:r>
      <w:r w:rsidR="00344255" w:rsidRPr="00366E26">
        <w:rPr>
          <w:rFonts w:ascii="標楷體" w:eastAsia="標楷體" w:hAnsi="標楷體" w:cs="Arial" w:hint="eastAsia"/>
          <w:sz w:val="27"/>
          <w:szCs w:val="27"/>
        </w:rPr>
        <w:t>因此表現</w:t>
      </w:r>
      <w:r w:rsidR="00344255" w:rsidRPr="00366E26">
        <w:rPr>
          <w:rFonts w:ascii="標楷體" w:eastAsia="標楷體" w:hAnsi="標楷體" w:cs="Arial"/>
          <w:sz w:val="27"/>
          <w:szCs w:val="27"/>
        </w:rPr>
        <w:t>疲弱，</w:t>
      </w:r>
      <w:r w:rsidR="004566DD" w:rsidRPr="00366E26">
        <w:rPr>
          <w:rFonts w:ascii="標楷體" w:eastAsia="標楷體" w:hAnsi="標楷體" w:cs="Arial" w:hint="eastAsia"/>
          <w:sz w:val="27"/>
          <w:szCs w:val="27"/>
        </w:rPr>
        <w:t>而</w:t>
      </w:r>
      <w:r w:rsidR="00410BE7" w:rsidRPr="00366E26">
        <w:rPr>
          <w:rFonts w:ascii="標楷體" w:eastAsia="標楷體" w:hAnsi="標楷體" w:hint="eastAsia"/>
          <w:sz w:val="27"/>
          <w:szCs w:val="27"/>
        </w:rPr>
        <w:t>上周</w:t>
      </w:r>
      <w:r w:rsidR="00410BE7" w:rsidRPr="00366E26">
        <w:rPr>
          <w:rFonts w:ascii="標楷體" w:eastAsia="標楷體" w:hAnsi="標楷體"/>
          <w:sz w:val="27"/>
          <w:szCs w:val="27"/>
        </w:rPr>
        <w:t>中國</w:t>
      </w:r>
      <w:r w:rsidR="00410BE7" w:rsidRPr="00366E26">
        <w:rPr>
          <w:rFonts w:ascii="標楷體" w:eastAsia="標楷體" w:hAnsi="標楷體" w:hint="eastAsia"/>
          <w:sz w:val="27"/>
          <w:szCs w:val="27"/>
        </w:rPr>
        <w:t>人行</w:t>
      </w:r>
      <w:r w:rsidR="00366E26" w:rsidRPr="00366E26">
        <w:rPr>
          <w:rFonts w:ascii="標楷體" w:eastAsia="標楷體" w:hAnsi="標楷體" w:hint="eastAsia"/>
          <w:sz w:val="27"/>
          <w:szCs w:val="27"/>
        </w:rPr>
        <w:t>假期前</w:t>
      </w:r>
      <w:r w:rsidR="004566DD" w:rsidRPr="00366E26">
        <w:rPr>
          <w:rFonts w:ascii="標楷體" w:eastAsia="標楷體" w:hAnsi="標楷體" w:cs="Arial"/>
          <w:sz w:val="27"/>
          <w:szCs w:val="27"/>
        </w:rPr>
        <w:t>出手</w:t>
      </w:r>
      <w:r w:rsidR="00AF31E1" w:rsidRPr="00366E26">
        <w:rPr>
          <w:rFonts w:ascii="標楷體" w:eastAsia="標楷體" w:hAnsi="標楷體" w:cs="Arial"/>
          <w:sz w:val="27"/>
          <w:szCs w:val="27"/>
        </w:rPr>
        <w:t>徵收外匯準備金</w:t>
      </w:r>
      <w:r w:rsidR="00366E26" w:rsidRPr="00366E26">
        <w:rPr>
          <w:rFonts w:ascii="標楷體" w:eastAsia="標楷體" w:hAnsi="標楷體" w:cs="Arial" w:hint="eastAsia"/>
          <w:sz w:val="27"/>
          <w:szCs w:val="27"/>
        </w:rPr>
        <w:t>，此舉將</w:t>
      </w:r>
      <w:r w:rsidR="00366E26" w:rsidRPr="00366E26">
        <w:rPr>
          <w:rFonts w:ascii="標楷體" w:eastAsia="標楷體" w:hAnsi="標楷體" w:cs="Arial"/>
          <w:sz w:val="27"/>
          <w:szCs w:val="27"/>
        </w:rPr>
        <w:t>增加</w:t>
      </w:r>
      <w:r w:rsidR="00366E26">
        <w:rPr>
          <w:rFonts w:ascii="標楷體" w:eastAsia="標楷體" w:hAnsi="標楷體" w:cs="Arial" w:hint="eastAsia"/>
          <w:sz w:val="27"/>
          <w:szCs w:val="27"/>
        </w:rPr>
        <w:t>投資人</w:t>
      </w:r>
      <w:r w:rsidR="00366E26" w:rsidRPr="00366E26">
        <w:rPr>
          <w:rFonts w:ascii="標楷體" w:eastAsia="標楷體" w:hAnsi="標楷體" w:cs="Arial"/>
          <w:sz w:val="27"/>
          <w:szCs w:val="27"/>
        </w:rPr>
        <w:t>遠期購匯成本，遏制</w:t>
      </w:r>
      <w:r w:rsidR="00366E26" w:rsidRPr="00366E26">
        <w:rPr>
          <w:rFonts w:ascii="標楷體" w:eastAsia="標楷體" w:hAnsi="標楷體" w:cs="Arial" w:hint="eastAsia"/>
          <w:sz w:val="27"/>
          <w:szCs w:val="27"/>
        </w:rPr>
        <w:t>市場</w:t>
      </w:r>
      <w:r w:rsidR="00366E26" w:rsidRPr="00366E26">
        <w:rPr>
          <w:rFonts w:ascii="標楷體" w:eastAsia="標楷體" w:hAnsi="標楷體" w:cs="Arial"/>
          <w:sz w:val="27"/>
          <w:szCs w:val="27"/>
        </w:rPr>
        <w:t>做空人民幣套利，有助減輕</w:t>
      </w:r>
      <w:r w:rsidR="00366E26" w:rsidRPr="00366E26">
        <w:rPr>
          <w:rFonts w:ascii="標楷體" w:eastAsia="標楷體" w:hAnsi="標楷體" w:hint="eastAsia"/>
          <w:sz w:val="27"/>
          <w:szCs w:val="27"/>
        </w:rPr>
        <w:t>人</w:t>
      </w:r>
      <w:r w:rsidR="00366E26">
        <w:rPr>
          <w:rFonts w:ascii="標楷體" w:eastAsia="標楷體" w:hAnsi="標楷體" w:cs="Arial"/>
          <w:sz w:val="27"/>
          <w:szCs w:val="27"/>
        </w:rPr>
        <w:t>行直接干預的壓力，</w:t>
      </w:r>
      <w:r w:rsidR="00366E26">
        <w:rPr>
          <w:rFonts w:ascii="標楷體" w:eastAsia="標楷體" w:hAnsi="標楷體" w:cs="Arial" w:hint="eastAsia"/>
          <w:sz w:val="27"/>
          <w:szCs w:val="27"/>
        </w:rPr>
        <w:t>亦可能</w:t>
      </w:r>
      <w:r w:rsidR="00366E26" w:rsidRPr="00366E26">
        <w:rPr>
          <w:rFonts w:ascii="標楷體" w:eastAsia="標楷體" w:hAnsi="標楷體" w:cs="Arial"/>
          <w:sz w:val="27"/>
          <w:szCs w:val="27"/>
        </w:rPr>
        <w:t>為</w:t>
      </w:r>
      <w:r w:rsidR="00366E26" w:rsidRPr="00366E26">
        <w:rPr>
          <w:rFonts w:ascii="標楷體" w:eastAsia="標楷體" w:hAnsi="標楷體" w:hint="eastAsia"/>
          <w:sz w:val="27"/>
          <w:szCs w:val="27"/>
        </w:rPr>
        <w:t>人行</w:t>
      </w:r>
      <w:r w:rsidR="00366E26" w:rsidRPr="00366E26">
        <w:rPr>
          <w:rFonts w:ascii="標楷體" w:eastAsia="標楷體" w:hAnsi="標楷體" w:cs="Arial"/>
          <w:sz w:val="27"/>
          <w:szCs w:val="27"/>
        </w:rPr>
        <w:t>收緊外匯市場管控的前兆</w:t>
      </w:r>
      <w:r w:rsidR="00366E26">
        <w:rPr>
          <w:rFonts w:ascii="標楷體" w:eastAsia="標楷體" w:hAnsi="標楷體" w:cs="Arial"/>
          <w:sz w:val="27"/>
          <w:szCs w:val="27"/>
        </w:rPr>
        <w:t>，</w:t>
      </w:r>
      <w:r w:rsidR="00C64DC6">
        <w:rPr>
          <w:rFonts w:ascii="標楷體" w:eastAsia="標楷體" w:hAnsi="標楷體" w:cs="Arial" w:hint="eastAsia"/>
          <w:sz w:val="27"/>
          <w:szCs w:val="27"/>
        </w:rPr>
        <w:t>預料</w:t>
      </w:r>
      <w:r w:rsidR="00C64DC6" w:rsidRPr="00366E26">
        <w:rPr>
          <w:rFonts w:ascii="標楷體" w:eastAsia="標楷體" w:hAnsi="標楷體" w:cs="Arial"/>
          <w:sz w:val="27"/>
          <w:szCs w:val="27"/>
        </w:rPr>
        <w:t>有助</w:t>
      </w:r>
      <w:r w:rsidR="00366E26" w:rsidRPr="00366E26">
        <w:rPr>
          <w:rFonts w:ascii="標楷體" w:eastAsia="標楷體" w:hAnsi="標楷體" w:cs="Arial"/>
          <w:sz w:val="27"/>
          <w:szCs w:val="27"/>
        </w:rPr>
        <w:t>人民幣匯率</w:t>
      </w:r>
      <w:r w:rsidR="00C85E89">
        <w:rPr>
          <w:rFonts w:ascii="標楷體" w:eastAsia="標楷體" w:hAnsi="標楷體" w:cs="Arial" w:hint="eastAsia"/>
          <w:sz w:val="27"/>
          <w:szCs w:val="27"/>
        </w:rPr>
        <w:t>走</w:t>
      </w:r>
      <w:r w:rsidR="00C85E89">
        <w:rPr>
          <w:rFonts w:ascii="標楷體" w:eastAsia="標楷體" w:hAnsi="標楷體" w:cs="Arial"/>
          <w:sz w:val="27"/>
          <w:szCs w:val="27"/>
        </w:rPr>
        <w:t>穩</w:t>
      </w:r>
      <w:r w:rsidR="004566DD" w:rsidRPr="00366E26">
        <w:rPr>
          <w:rFonts w:ascii="標楷體" w:eastAsia="標楷體" w:hAnsi="標楷體" w:cs="Arial" w:hint="eastAsia"/>
          <w:sz w:val="27"/>
          <w:szCs w:val="27"/>
        </w:rPr>
        <w:t>，</w:t>
      </w:r>
      <w:r w:rsidR="001D646F">
        <w:rPr>
          <w:rFonts w:ascii="標楷體" w:eastAsia="標楷體" w:hAnsi="標楷體" w:hint="eastAsia"/>
          <w:sz w:val="27"/>
          <w:szCs w:val="27"/>
        </w:rPr>
        <w:t>預測</w:t>
      </w:r>
      <w:r w:rsidR="001D646F"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本周</w:t>
      </w:r>
      <w:r w:rsidR="00C85E89" w:rsidRPr="00C85E89">
        <w:rPr>
          <w:rFonts w:ascii="標楷體" w:eastAsia="標楷體" w:hAnsi="標楷體" w:hint="eastAsia"/>
          <w:sz w:val="27"/>
          <w:szCs w:val="27"/>
        </w:rPr>
        <w:t>新台幣也將受到美元轉弱、人民幣回穩影響，呈現區間整理格局，預估成交區間落在32</w:t>
      </w:r>
      <w:r w:rsidR="00C85E89">
        <w:rPr>
          <w:rFonts w:ascii="標楷體" w:eastAsia="標楷體" w:hAnsi="標楷體"/>
          <w:sz w:val="27"/>
          <w:szCs w:val="27"/>
        </w:rPr>
        <w:t>.</w:t>
      </w:r>
      <w:r w:rsidR="00C85E89">
        <w:rPr>
          <w:rFonts w:ascii="標楷體" w:eastAsia="標楷體" w:hAnsi="標楷體" w:hint="eastAsia"/>
          <w:sz w:val="27"/>
          <w:szCs w:val="27"/>
        </w:rPr>
        <w:t>30</w:t>
      </w:r>
      <w:r w:rsidR="00C85E89" w:rsidRPr="00C85E89">
        <w:rPr>
          <w:rFonts w:ascii="標楷體" w:eastAsia="標楷體" w:hAnsi="標楷體" w:hint="eastAsia"/>
          <w:sz w:val="27"/>
          <w:szCs w:val="27"/>
        </w:rPr>
        <w:t>~33.0間</w:t>
      </w:r>
      <w:r w:rsidR="00344255" w:rsidRPr="00C85E89">
        <w:rPr>
          <w:rFonts w:ascii="標楷體" w:eastAsia="標楷體" w:hAnsi="標楷體" w:cs="Arial"/>
          <w:sz w:val="27"/>
          <w:szCs w:val="27"/>
        </w:rPr>
        <w:t>。</w:t>
      </w: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CC4E8D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C4E8D" w:rsidP="009E727A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624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CC4E8D" w:rsidP="009E727A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811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5A3AD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9E727A" w:rsidP="009E727A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277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C4E8D" w:rsidP="009E727A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442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9E727A" w:rsidP="009E727A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CC4E8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CC4E8D" w:rsidP="009E727A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776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663F6F" w:rsidP="009E727A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930</w:t>
            </w:r>
            <w:r w:rsidR="009E727A">
              <w:rPr>
                <w:rFonts w:ascii="標楷體" w:eastAsia="標楷體" w:hAnsi="標楷體"/>
                <w:color w:val="000000"/>
                <w:sz w:val="27"/>
                <w:szCs w:val="27"/>
              </w:rPr>
              <w:t>.7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央債還本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付息41.7375億元。</w:t>
      </w: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9/8 央行364天期存單1,500億元交割。</w:t>
      </w:r>
    </w:p>
    <w:p w:rsidR="0080309C" w:rsidRDefault="0080309C" w:rsidP="0080309C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9/11 104/12 10年期公債</w:t>
      </w:r>
      <w:r>
        <w:rPr>
          <w:rFonts w:ascii="標楷體" w:eastAsia="標楷體" w:hAnsi="標楷體"/>
          <w:color w:val="000000"/>
          <w:sz w:val="27"/>
          <w:szCs w:val="27"/>
        </w:rPr>
        <w:t>3</w:t>
      </w:r>
      <w:r>
        <w:rPr>
          <w:rFonts w:ascii="標楷體" w:eastAsia="標楷體" w:hAnsi="標楷體" w:hint="eastAsia"/>
          <w:color w:val="000000"/>
          <w:sz w:val="27"/>
          <w:szCs w:val="27"/>
        </w:rPr>
        <w:t>5</w:t>
      </w:r>
      <w:r>
        <w:rPr>
          <w:rFonts w:ascii="標楷體" w:eastAsia="標楷體" w:hAnsi="標楷體"/>
          <w:color w:val="000000"/>
          <w:sz w:val="27"/>
          <w:szCs w:val="27"/>
        </w:rPr>
        <w:t>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億元交割。</w:t>
      </w:r>
    </w:p>
    <w:p w:rsidR="00220DAB" w:rsidRPr="00DB5FFB" w:rsidRDefault="00220DAB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9D"/>
    <w:rsid w:val="00001179"/>
    <w:rsid w:val="00015B01"/>
    <w:rsid w:val="00020147"/>
    <w:rsid w:val="000217C2"/>
    <w:rsid w:val="00021F8C"/>
    <w:rsid w:val="00022502"/>
    <w:rsid w:val="00027912"/>
    <w:rsid w:val="00027D6A"/>
    <w:rsid w:val="00031E25"/>
    <w:rsid w:val="0004114F"/>
    <w:rsid w:val="000454C6"/>
    <w:rsid w:val="000523CD"/>
    <w:rsid w:val="0005491F"/>
    <w:rsid w:val="00055DC8"/>
    <w:rsid w:val="000604F3"/>
    <w:rsid w:val="00064310"/>
    <w:rsid w:val="00066AE3"/>
    <w:rsid w:val="00072822"/>
    <w:rsid w:val="00080B57"/>
    <w:rsid w:val="0008213E"/>
    <w:rsid w:val="00085065"/>
    <w:rsid w:val="00087F50"/>
    <w:rsid w:val="000925B7"/>
    <w:rsid w:val="00095E4C"/>
    <w:rsid w:val="000970B1"/>
    <w:rsid w:val="000B3E15"/>
    <w:rsid w:val="000B43DB"/>
    <w:rsid w:val="000B6276"/>
    <w:rsid w:val="000C5C2C"/>
    <w:rsid w:val="000D29B5"/>
    <w:rsid w:val="000D44D2"/>
    <w:rsid w:val="000F4C1B"/>
    <w:rsid w:val="0010159E"/>
    <w:rsid w:val="001030F8"/>
    <w:rsid w:val="0010612A"/>
    <w:rsid w:val="00111669"/>
    <w:rsid w:val="00113375"/>
    <w:rsid w:val="00115072"/>
    <w:rsid w:val="0011629E"/>
    <w:rsid w:val="00123942"/>
    <w:rsid w:val="00137A3A"/>
    <w:rsid w:val="00144D36"/>
    <w:rsid w:val="00152F4C"/>
    <w:rsid w:val="0016144F"/>
    <w:rsid w:val="00165020"/>
    <w:rsid w:val="001672E1"/>
    <w:rsid w:val="00172A60"/>
    <w:rsid w:val="00172DFD"/>
    <w:rsid w:val="001747BA"/>
    <w:rsid w:val="00180CF3"/>
    <w:rsid w:val="00186C73"/>
    <w:rsid w:val="0019528A"/>
    <w:rsid w:val="00196B88"/>
    <w:rsid w:val="001B1A1C"/>
    <w:rsid w:val="001B2468"/>
    <w:rsid w:val="001C7FE0"/>
    <w:rsid w:val="001D646F"/>
    <w:rsid w:val="001E43CA"/>
    <w:rsid w:val="001F1460"/>
    <w:rsid w:val="001F7795"/>
    <w:rsid w:val="002019D3"/>
    <w:rsid w:val="00203440"/>
    <w:rsid w:val="00204640"/>
    <w:rsid w:val="00214841"/>
    <w:rsid w:val="002171E2"/>
    <w:rsid w:val="00220651"/>
    <w:rsid w:val="00220DAB"/>
    <w:rsid w:val="00223FB1"/>
    <w:rsid w:val="00225018"/>
    <w:rsid w:val="00225E00"/>
    <w:rsid w:val="0022766E"/>
    <w:rsid w:val="00235430"/>
    <w:rsid w:val="0023664E"/>
    <w:rsid w:val="00244816"/>
    <w:rsid w:val="0024694C"/>
    <w:rsid w:val="00246D24"/>
    <w:rsid w:val="002846B6"/>
    <w:rsid w:val="0029064A"/>
    <w:rsid w:val="00294FD5"/>
    <w:rsid w:val="002A7CEE"/>
    <w:rsid w:val="002B421A"/>
    <w:rsid w:val="002B45F0"/>
    <w:rsid w:val="002B652A"/>
    <w:rsid w:val="002B7500"/>
    <w:rsid w:val="002C1C8E"/>
    <w:rsid w:val="002C3FC4"/>
    <w:rsid w:val="002D38B8"/>
    <w:rsid w:val="002E5F04"/>
    <w:rsid w:val="002E72E1"/>
    <w:rsid w:val="002F11E0"/>
    <w:rsid w:val="002F1575"/>
    <w:rsid w:val="002F36AA"/>
    <w:rsid w:val="002F63BD"/>
    <w:rsid w:val="002F7A88"/>
    <w:rsid w:val="00304034"/>
    <w:rsid w:val="003123B4"/>
    <w:rsid w:val="003169C4"/>
    <w:rsid w:val="00320C96"/>
    <w:rsid w:val="00324236"/>
    <w:rsid w:val="003268A7"/>
    <w:rsid w:val="00327256"/>
    <w:rsid w:val="00327812"/>
    <w:rsid w:val="00344255"/>
    <w:rsid w:val="00351139"/>
    <w:rsid w:val="00355F23"/>
    <w:rsid w:val="00360F2D"/>
    <w:rsid w:val="00362B06"/>
    <w:rsid w:val="00366E26"/>
    <w:rsid w:val="003828C0"/>
    <w:rsid w:val="0039190F"/>
    <w:rsid w:val="0039218E"/>
    <w:rsid w:val="00395522"/>
    <w:rsid w:val="003B6C84"/>
    <w:rsid w:val="003C20A7"/>
    <w:rsid w:val="003D017C"/>
    <w:rsid w:val="003D5505"/>
    <w:rsid w:val="003E4C46"/>
    <w:rsid w:val="003E6DD6"/>
    <w:rsid w:val="0040182A"/>
    <w:rsid w:val="00410BE7"/>
    <w:rsid w:val="004235C6"/>
    <w:rsid w:val="004258BD"/>
    <w:rsid w:val="00427AC1"/>
    <w:rsid w:val="00437E98"/>
    <w:rsid w:val="004428A9"/>
    <w:rsid w:val="00443453"/>
    <w:rsid w:val="004531B0"/>
    <w:rsid w:val="004562E2"/>
    <w:rsid w:val="004566DD"/>
    <w:rsid w:val="004618BF"/>
    <w:rsid w:val="00464895"/>
    <w:rsid w:val="0048749E"/>
    <w:rsid w:val="00491A10"/>
    <w:rsid w:val="004966F4"/>
    <w:rsid w:val="00497916"/>
    <w:rsid w:val="004A1E65"/>
    <w:rsid w:val="004A542F"/>
    <w:rsid w:val="004C220B"/>
    <w:rsid w:val="004C43B4"/>
    <w:rsid w:val="004C6F0D"/>
    <w:rsid w:val="004D0357"/>
    <w:rsid w:val="004D2D47"/>
    <w:rsid w:val="004D472D"/>
    <w:rsid w:val="004D6B5C"/>
    <w:rsid w:val="004E0061"/>
    <w:rsid w:val="004E328A"/>
    <w:rsid w:val="004F5F20"/>
    <w:rsid w:val="005014BD"/>
    <w:rsid w:val="00502FF8"/>
    <w:rsid w:val="0050488E"/>
    <w:rsid w:val="00513277"/>
    <w:rsid w:val="00523700"/>
    <w:rsid w:val="00530DBB"/>
    <w:rsid w:val="00533CC7"/>
    <w:rsid w:val="00537A9C"/>
    <w:rsid w:val="005556EF"/>
    <w:rsid w:val="00570201"/>
    <w:rsid w:val="0057600B"/>
    <w:rsid w:val="00584968"/>
    <w:rsid w:val="00590EC4"/>
    <w:rsid w:val="005955E1"/>
    <w:rsid w:val="00596F93"/>
    <w:rsid w:val="005A3AD3"/>
    <w:rsid w:val="005B406D"/>
    <w:rsid w:val="005D21AE"/>
    <w:rsid w:val="005E074B"/>
    <w:rsid w:val="005E229D"/>
    <w:rsid w:val="005E4179"/>
    <w:rsid w:val="00605502"/>
    <w:rsid w:val="0061131D"/>
    <w:rsid w:val="00621432"/>
    <w:rsid w:val="00623193"/>
    <w:rsid w:val="00634BB7"/>
    <w:rsid w:val="00662F01"/>
    <w:rsid w:val="00663F6F"/>
    <w:rsid w:val="006773AA"/>
    <w:rsid w:val="00680FAD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D340D"/>
    <w:rsid w:val="006D4632"/>
    <w:rsid w:val="006D7163"/>
    <w:rsid w:val="006E3B80"/>
    <w:rsid w:val="006E7C3B"/>
    <w:rsid w:val="006F297A"/>
    <w:rsid w:val="006F6FB8"/>
    <w:rsid w:val="0070306E"/>
    <w:rsid w:val="0070680A"/>
    <w:rsid w:val="00713EBC"/>
    <w:rsid w:val="00714249"/>
    <w:rsid w:val="0071610D"/>
    <w:rsid w:val="00736373"/>
    <w:rsid w:val="007542DB"/>
    <w:rsid w:val="00754AC6"/>
    <w:rsid w:val="00763B18"/>
    <w:rsid w:val="0077123A"/>
    <w:rsid w:val="00784442"/>
    <w:rsid w:val="00790ABE"/>
    <w:rsid w:val="007A3083"/>
    <w:rsid w:val="007B63C7"/>
    <w:rsid w:val="007B7A19"/>
    <w:rsid w:val="007C7D07"/>
    <w:rsid w:val="007D3A1B"/>
    <w:rsid w:val="007D451F"/>
    <w:rsid w:val="007E0D37"/>
    <w:rsid w:val="007E6E61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21242"/>
    <w:rsid w:val="00823E17"/>
    <w:rsid w:val="00824858"/>
    <w:rsid w:val="00827353"/>
    <w:rsid w:val="0083175E"/>
    <w:rsid w:val="00835465"/>
    <w:rsid w:val="00840006"/>
    <w:rsid w:val="0084404D"/>
    <w:rsid w:val="00844EE1"/>
    <w:rsid w:val="0084560B"/>
    <w:rsid w:val="00850EF5"/>
    <w:rsid w:val="00852249"/>
    <w:rsid w:val="00857C19"/>
    <w:rsid w:val="008678DE"/>
    <w:rsid w:val="008704B8"/>
    <w:rsid w:val="00873997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476D1"/>
    <w:rsid w:val="00956ED2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02BA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27A"/>
    <w:rsid w:val="009E7E52"/>
    <w:rsid w:val="009F39C1"/>
    <w:rsid w:val="00A02FA4"/>
    <w:rsid w:val="00A07C7F"/>
    <w:rsid w:val="00A11125"/>
    <w:rsid w:val="00A12757"/>
    <w:rsid w:val="00A1691B"/>
    <w:rsid w:val="00A20B56"/>
    <w:rsid w:val="00A21F5F"/>
    <w:rsid w:val="00A27524"/>
    <w:rsid w:val="00A3030D"/>
    <w:rsid w:val="00A339F1"/>
    <w:rsid w:val="00A51F27"/>
    <w:rsid w:val="00A643EB"/>
    <w:rsid w:val="00A730A4"/>
    <w:rsid w:val="00A80CE9"/>
    <w:rsid w:val="00AA5A2E"/>
    <w:rsid w:val="00AB7C85"/>
    <w:rsid w:val="00AD1036"/>
    <w:rsid w:val="00AD5954"/>
    <w:rsid w:val="00AD7A1E"/>
    <w:rsid w:val="00AE6011"/>
    <w:rsid w:val="00AF31E1"/>
    <w:rsid w:val="00AF7471"/>
    <w:rsid w:val="00B00A22"/>
    <w:rsid w:val="00B217D7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1325"/>
    <w:rsid w:val="00B928C4"/>
    <w:rsid w:val="00B96823"/>
    <w:rsid w:val="00BA4145"/>
    <w:rsid w:val="00BA4DDA"/>
    <w:rsid w:val="00BC20D8"/>
    <w:rsid w:val="00BC7049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5934"/>
    <w:rsid w:val="00C26020"/>
    <w:rsid w:val="00C26C85"/>
    <w:rsid w:val="00C27413"/>
    <w:rsid w:val="00C3630D"/>
    <w:rsid w:val="00C517B4"/>
    <w:rsid w:val="00C64B04"/>
    <w:rsid w:val="00C64DC6"/>
    <w:rsid w:val="00C66573"/>
    <w:rsid w:val="00C70C42"/>
    <w:rsid w:val="00C74FA1"/>
    <w:rsid w:val="00C80CCC"/>
    <w:rsid w:val="00C81C41"/>
    <w:rsid w:val="00C8306E"/>
    <w:rsid w:val="00C85E89"/>
    <w:rsid w:val="00C92E5B"/>
    <w:rsid w:val="00CB3EFF"/>
    <w:rsid w:val="00CB4181"/>
    <w:rsid w:val="00CC4E8D"/>
    <w:rsid w:val="00CC6A5F"/>
    <w:rsid w:val="00CD1AEA"/>
    <w:rsid w:val="00CD4079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21356"/>
    <w:rsid w:val="00D2257C"/>
    <w:rsid w:val="00D301DA"/>
    <w:rsid w:val="00D314CD"/>
    <w:rsid w:val="00D345B1"/>
    <w:rsid w:val="00D43D3C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2C8"/>
    <w:rsid w:val="00E16979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91496"/>
    <w:rsid w:val="00EA2A5E"/>
    <w:rsid w:val="00EA2E1A"/>
    <w:rsid w:val="00EA405E"/>
    <w:rsid w:val="00EA4772"/>
    <w:rsid w:val="00EB127A"/>
    <w:rsid w:val="00EB5F9E"/>
    <w:rsid w:val="00EC23FB"/>
    <w:rsid w:val="00EC358A"/>
    <w:rsid w:val="00EC3E3B"/>
    <w:rsid w:val="00ED771C"/>
    <w:rsid w:val="00EE1B03"/>
    <w:rsid w:val="00EE2257"/>
    <w:rsid w:val="00EF6F18"/>
    <w:rsid w:val="00F04931"/>
    <w:rsid w:val="00F05619"/>
    <w:rsid w:val="00F1430A"/>
    <w:rsid w:val="00F164F9"/>
    <w:rsid w:val="00F22AB5"/>
    <w:rsid w:val="00F42777"/>
    <w:rsid w:val="00F527CC"/>
    <w:rsid w:val="00F52DF5"/>
    <w:rsid w:val="00F57687"/>
    <w:rsid w:val="00F65B45"/>
    <w:rsid w:val="00F77E97"/>
    <w:rsid w:val="00F87C0F"/>
    <w:rsid w:val="00F917DC"/>
    <w:rsid w:val="00FA1D65"/>
    <w:rsid w:val="00FB5A8B"/>
    <w:rsid w:val="00FC15B9"/>
    <w:rsid w:val="00FC6801"/>
    <w:rsid w:val="00FD14B0"/>
    <w:rsid w:val="00FD2C6C"/>
    <w:rsid w:val="00FD532A"/>
    <w:rsid w:val="00FD75EA"/>
    <w:rsid w:val="00FE7880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49682-D89D-40C5-A5F1-C7882489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165</Words>
  <Characters>944</Characters>
  <Application>Microsoft Office Word</Application>
  <DocSecurity>0</DocSecurity>
  <Lines>7</Lines>
  <Paragraphs>2</Paragraphs>
  <ScaleCrop>false</ScaleCrop>
  <Company>大中票券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2015-08-07T07:22:00Z</cp:lastPrinted>
  <dcterms:created xsi:type="dcterms:W3CDTF">2015-09-03T02:14:00Z</dcterms:created>
  <dcterms:modified xsi:type="dcterms:W3CDTF">2015-09-06T06:58:00Z</dcterms:modified>
</cp:coreProperties>
</file>