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203440" w:rsidRDefault="006922AC" w:rsidP="003E6DD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為</w:t>
      </w:r>
      <w:r w:rsidR="00220DAB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2E72E1" w:rsidRPr="00220DAB">
        <w:rPr>
          <w:rFonts w:ascii="標楷體" w:eastAsia="標楷體" w:hAnsi="標楷體"/>
          <w:sz w:val="27"/>
          <w:szCs w:val="27"/>
        </w:rPr>
        <w:t>1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兆3</w:t>
      </w:r>
      <w:r w:rsidR="002E72E1" w:rsidRPr="00220DAB">
        <w:rPr>
          <w:rFonts w:ascii="標楷體" w:eastAsia="標楷體" w:hAnsi="標楷體"/>
          <w:sz w:val="27"/>
          <w:szCs w:val="27"/>
        </w:rPr>
        <w:t>,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705.5億元</w:t>
      </w:r>
      <w:r w:rsidR="00E022C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E72E1" w:rsidRPr="00220DAB">
        <w:rPr>
          <w:rFonts w:ascii="標楷體" w:eastAsia="標楷體" w:hAnsi="標楷體" w:hint="eastAsia"/>
          <w:sz w:val="27"/>
          <w:szCs w:val="27"/>
        </w:rPr>
        <w:t>以及央債還本</w:t>
      </w:r>
      <w:proofErr w:type="gramEnd"/>
      <w:r w:rsidR="002E72E1" w:rsidRPr="00220DAB">
        <w:rPr>
          <w:rFonts w:ascii="標楷體" w:eastAsia="標楷體" w:hAnsi="標楷體" w:hint="eastAsia"/>
          <w:sz w:val="27"/>
          <w:szCs w:val="27"/>
        </w:rPr>
        <w:t>付息366.875億元，緊縮因素則為30年公債300億元交割、2年期</w:t>
      </w:r>
      <w:r w:rsidR="003B6C84" w:rsidRPr="00220DAB">
        <w:rPr>
          <w:rFonts w:ascii="標楷體" w:eastAsia="標楷體" w:hAnsi="標楷體" w:hint="eastAsia"/>
          <w:sz w:val="27"/>
          <w:szCs w:val="27"/>
        </w:rPr>
        <w:t>央行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定存單300億元交割、91天國庫券250億元交割</w:t>
      </w:r>
      <w:r w:rsidR="00E022C8">
        <w:rPr>
          <w:rFonts w:ascii="標楷體" w:eastAsia="標楷體" w:hAnsi="標楷體" w:hint="eastAsia"/>
          <w:sz w:val="27"/>
          <w:szCs w:val="27"/>
        </w:rPr>
        <w:t>，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以及</w:t>
      </w:r>
      <w:r w:rsidR="002E72E1" w:rsidRPr="00220DAB">
        <w:rPr>
          <w:rFonts w:ascii="標楷體" w:eastAsia="標楷體" w:hAnsi="標楷體" w:cs="Times New Roman" w:hint="eastAsia"/>
          <w:bCs/>
          <w:sz w:val="27"/>
          <w:szCs w:val="27"/>
        </w:rPr>
        <w:t>央行例行性沖銷</w:t>
      </w:r>
      <w:r w:rsidR="002E72E1" w:rsidRPr="00220DAB">
        <w:rPr>
          <w:rFonts w:ascii="標楷體" w:eastAsia="標楷體" w:hAnsi="標楷體" w:cs="Arial" w:hint="eastAsia"/>
          <w:sz w:val="27"/>
          <w:szCs w:val="27"/>
        </w:rPr>
        <w:t>。</w:t>
      </w:r>
      <w:r w:rsidR="00513277">
        <w:rPr>
          <w:rFonts w:ascii="標楷體" w:eastAsia="標楷體" w:hAnsi="標楷體" w:hint="eastAsia"/>
          <w:color w:val="000000" w:themeColor="text1"/>
          <w:sz w:val="27"/>
          <w:szCs w:val="27"/>
        </w:rPr>
        <w:t>由於時序仍在</w:t>
      </w:r>
      <w:r w:rsidR="0039190F">
        <w:rPr>
          <w:rFonts w:ascii="標楷體" w:eastAsia="標楷體" w:hAnsi="標楷體" w:cs="Arial" w:hint="eastAsia"/>
          <w:sz w:val="27"/>
          <w:szCs w:val="27"/>
        </w:rPr>
        <w:t>上半</w:t>
      </w:r>
      <w:proofErr w:type="gramStart"/>
      <w:r w:rsidR="0039190F">
        <w:rPr>
          <w:rFonts w:ascii="標楷體" w:eastAsia="標楷體" w:hAnsi="標楷體" w:cs="Arial" w:hint="eastAsia"/>
          <w:sz w:val="27"/>
          <w:szCs w:val="27"/>
        </w:rPr>
        <w:t>旬</w:t>
      </w:r>
      <w:proofErr w:type="gramEnd"/>
      <w:r w:rsidR="00E37F11">
        <w:rPr>
          <w:rFonts w:ascii="標楷體" w:eastAsia="標楷體" w:hAnsi="標楷體" w:cs="Arial" w:hint="eastAsia"/>
          <w:sz w:val="27"/>
          <w:szCs w:val="27"/>
        </w:rPr>
        <w:t>，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銀行操作空間</w:t>
      </w:r>
      <w:r w:rsidR="00B34F09">
        <w:rPr>
          <w:rFonts w:ascii="標楷體" w:eastAsia="標楷體" w:hAnsi="標楷體" w:cs="Arial" w:hint="eastAsia"/>
          <w:sz w:val="27"/>
          <w:szCs w:val="27"/>
        </w:rPr>
        <w:t>仍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大</w:t>
      </w:r>
      <w:r w:rsidR="00B34F09">
        <w:rPr>
          <w:rFonts w:ascii="標楷體" w:eastAsia="標楷體" w:hAnsi="標楷體" w:cs="Arial" w:hint="eastAsia"/>
          <w:sz w:val="27"/>
          <w:szCs w:val="27"/>
        </w:rPr>
        <w:t>，</w:t>
      </w:r>
      <w:r w:rsidR="002A7CEE">
        <w:rPr>
          <w:rFonts w:ascii="標楷體" w:eastAsia="標楷體" w:hAnsi="標楷體" w:cs="Arial" w:hint="eastAsia"/>
          <w:sz w:val="27"/>
          <w:szCs w:val="27"/>
        </w:rPr>
        <w:t>加上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投信法人資金</w:t>
      </w:r>
      <w:r w:rsidR="00790ABE">
        <w:rPr>
          <w:rFonts w:ascii="標楷體" w:eastAsia="標楷體" w:hAnsi="標楷體" w:cs="Arial" w:hint="eastAsia"/>
          <w:sz w:val="27"/>
          <w:szCs w:val="27"/>
        </w:rPr>
        <w:t>持續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流</w:t>
      </w:r>
      <w:r w:rsidR="00D9379A">
        <w:rPr>
          <w:rFonts w:ascii="標楷體" w:eastAsia="標楷體" w:hAnsi="標楷體" w:cs="Arial" w:hint="eastAsia"/>
          <w:sz w:val="27"/>
          <w:szCs w:val="27"/>
        </w:rPr>
        <w:t>入</w:t>
      </w:r>
      <w:r w:rsidR="00220DAB" w:rsidRPr="0061131D">
        <w:rPr>
          <w:rFonts w:ascii="標楷體" w:eastAsia="標楷體" w:hAnsi="標楷體" w:cs="Arial" w:hint="eastAsia"/>
          <w:sz w:val="27"/>
          <w:szCs w:val="27"/>
        </w:rPr>
        <w:t>，</w:t>
      </w:r>
      <w:r w:rsidR="0061131D">
        <w:rPr>
          <w:rFonts w:ascii="標楷體" w:eastAsia="標楷體" w:hAnsi="標楷體" w:cs="Arial" w:hint="eastAsia"/>
          <w:sz w:val="27"/>
          <w:szCs w:val="27"/>
        </w:rPr>
        <w:t>市</w:t>
      </w:r>
      <w:proofErr w:type="gramStart"/>
      <w:r w:rsidR="0061131D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244816">
        <w:rPr>
          <w:rFonts w:ascii="標楷體" w:eastAsia="標楷體" w:hAnsi="標楷體" w:cs="Arial" w:hint="eastAsia"/>
          <w:sz w:val="27"/>
          <w:szCs w:val="27"/>
        </w:rPr>
        <w:t>多呈</w:t>
      </w:r>
      <w:r w:rsidR="0061131D">
        <w:rPr>
          <w:rFonts w:ascii="標楷體" w:eastAsia="標楷體" w:hAnsi="標楷體" w:cs="Arial" w:hint="eastAsia"/>
          <w:sz w:val="27"/>
          <w:szCs w:val="27"/>
        </w:rPr>
        <w:t>寬鬆</w:t>
      </w:r>
      <w:r w:rsidR="00B34F09">
        <w:rPr>
          <w:rFonts w:ascii="標楷體" w:eastAsia="標楷體" w:hAnsi="標楷體" w:cs="Arial" w:hint="eastAsia"/>
          <w:sz w:val="27"/>
          <w:szCs w:val="27"/>
        </w:rPr>
        <w:t>態勢</w:t>
      </w:r>
      <w:r w:rsidR="00244816">
        <w:rPr>
          <w:rFonts w:ascii="標楷體" w:eastAsia="標楷體" w:hAnsi="標楷體" w:cs="Arial" w:hint="eastAsia"/>
          <w:sz w:val="27"/>
          <w:szCs w:val="27"/>
        </w:rPr>
        <w:t>，</w:t>
      </w:r>
      <w:r w:rsidR="008F0691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8F0691" w:rsidRPr="00B64BE4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8F0691" w:rsidRPr="0051454E">
        <w:rPr>
          <w:rFonts w:ascii="標楷體" w:eastAsia="標楷體" w:hAnsi="標楷體" w:cs="Arial" w:hint="eastAsia"/>
          <w:bCs/>
          <w:sz w:val="27"/>
          <w:szCs w:val="27"/>
        </w:rPr>
        <w:t>央行</w:t>
      </w:r>
      <w:r w:rsidR="008F0691" w:rsidRPr="00B64BE4">
        <w:rPr>
          <w:rFonts w:ascii="標楷體" w:eastAsia="標楷體" w:hAnsi="標楷體" w:hint="eastAsia"/>
          <w:color w:val="000000" w:themeColor="text1"/>
          <w:sz w:val="27"/>
          <w:szCs w:val="27"/>
        </w:rPr>
        <w:t>發行</w:t>
      </w:r>
      <w:r w:rsidR="008F0691">
        <w:rPr>
          <w:rFonts w:ascii="標楷體" w:eastAsia="標楷體" w:hAnsi="標楷體" w:cs="Arial" w:hint="eastAsia"/>
          <w:bCs/>
          <w:sz w:val="27"/>
          <w:szCs w:val="27"/>
        </w:rPr>
        <w:t>一年、二年期</w:t>
      </w:r>
      <w:r w:rsidR="008F0691" w:rsidRPr="0051454E">
        <w:rPr>
          <w:rFonts w:ascii="標楷體" w:eastAsia="標楷體" w:hAnsi="標楷體" w:cs="Arial" w:hint="eastAsia"/>
          <w:bCs/>
          <w:sz w:val="27"/>
          <w:szCs w:val="27"/>
        </w:rPr>
        <w:t>存單</w:t>
      </w:r>
      <w:r w:rsidR="008F0691">
        <w:rPr>
          <w:rFonts w:ascii="標楷體" w:eastAsia="標楷體" w:hAnsi="標楷體" w:cs="Arial" w:hint="eastAsia"/>
          <w:bCs/>
          <w:sz w:val="27"/>
          <w:szCs w:val="27"/>
        </w:rPr>
        <w:t>，其</w:t>
      </w:r>
      <w:r w:rsidR="008F0691" w:rsidRPr="0051454E">
        <w:rPr>
          <w:rFonts w:ascii="標楷體" w:eastAsia="標楷體" w:hAnsi="標楷體" w:cs="Arial" w:hint="eastAsia"/>
          <w:bCs/>
          <w:sz w:val="27"/>
          <w:szCs w:val="27"/>
        </w:rPr>
        <w:t>得標利率</w:t>
      </w:r>
      <w:r w:rsidR="00DC10BC">
        <w:rPr>
          <w:rFonts w:ascii="標楷體" w:eastAsia="標楷體" w:hAnsi="標楷體" w:cs="Arial" w:hint="eastAsia"/>
          <w:bCs/>
          <w:sz w:val="27"/>
          <w:szCs w:val="27"/>
        </w:rPr>
        <w:t>持</w:t>
      </w:r>
      <w:r w:rsidR="008F0691">
        <w:rPr>
          <w:rFonts w:ascii="標楷體" w:eastAsia="標楷體" w:hAnsi="標楷體" w:cs="Arial" w:hint="eastAsia"/>
          <w:bCs/>
          <w:sz w:val="27"/>
          <w:szCs w:val="27"/>
        </w:rPr>
        <w:t>續下滑</w:t>
      </w:r>
      <w:r w:rsidR="008F0691" w:rsidRPr="0051454E">
        <w:rPr>
          <w:rFonts w:ascii="標楷體" w:eastAsia="標楷體" w:hAnsi="標楷體" w:cs="Arial" w:hint="eastAsia"/>
          <w:bCs/>
          <w:sz w:val="27"/>
          <w:szCs w:val="27"/>
        </w:rPr>
        <w:t>，</w:t>
      </w:r>
      <w:r w:rsidR="00912B1D">
        <w:rPr>
          <w:rFonts w:ascii="標楷體" w:eastAsia="標楷體" w:hAnsi="標楷體" w:cs="Arial" w:hint="eastAsia"/>
          <w:bCs/>
          <w:sz w:val="27"/>
          <w:szCs w:val="27"/>
        </w:rPr>
        <w:t>加上</w:t>
      </w:r>
      <w:r w:rsidR="008F0691">
        <w:rPr>
          <w:rFonts w:ascii="標楷體" w:eastAsia="標楷體" w:hAnsi="標楷體" w:hint="eastAsia"/>
          <w:sz w:val="27"/>
          <w:szCs w:val="27"/>
        </w:rPr>
        <w:t>上</w:t>
      </w:r>
      <w:r w:rsidR="008F0691" w:rsidRPr="006A7CD0">
        <w:rPr>
          <w:rFonts w:ascii="標楷體" w:eastAsia="標楷體" w:hAnsi="標楷體" w:hint="eastAsia"/>
          <w:sz w:val="27"/>
          <w:szCs w:val="27"/>
        </w:rPr>
        <w:t>周</w:t>
      </w:r>
      <w:r w:rsidR="008F0691">
        <w:rPr>
          <w:rFonts w:ascii="標楷體" w:eastAsia="標楷體" w:hAnsi="標楷體" w:cs="Arial" w:hint="eastAsia"/>
          <w:bCs/>
          <w:sz w:val="27"/>
          <w:szCs w:val="27"/>
        </w:rPr>
        <w:t>央行</w:t>
      </w:r>
      <w:r w:rsidR="004D6B5C">
        <w:rPr>
          <w:rFonts w:ascii="標楷體" w:eastAsia="標楷體" w:hAnsi="標楷體" w:cs="Arial" w:hint="eastAsia"/>
          <w:bCs/>
          <w:sz w:val="27"/>
          <w:szCs w:val="27"/>
        </w:rPr>
        <w:t>除</w:t>
      </w:r>
      <w:r w:rsidR="004966F4">
        <w:rPr>
          <w:rFonts w:ascii="標楷體" w:eastAsia="標楷體" w:hAnsi="標楷體" w:cs="Arial" w:hint="eastAsia"/>
          <w:bCs/>
          <w:sz w:val="27"/>
          <w:szCs w:val="27"/>
        </w:rPr>
        <w:t>連續</w:t>
      </w:r>
      <w:r w:rsidR="008F0691">
        <w:rPr>
          <w:rFonts w:ascii="標楷體" w:eastAsia="標楷體" w:hAnsi="標楷體" w:cs="Arial" w:hint="eastAsia"/>
          <w:bCs/>
          <w:sz w:val="27"/>
          <w:szCs w:val="27"/>
        </w:rPr>
        <w:t>調降委託銀行</w:t>
      </w:r>
      <w:proofErr w:type="gramStart"/>
      <w:r w:rsidR="008F0691">
        <w:rPr>
          <w:rFonts w:ascii="標楷體" w:eastAsia="標楷體" w:hAnsi="標楷體" w:cs="Arial" w:hint="eastAsia"/>
          <w:bCs/>
          <w:sz w:val="27"/>
          <w:szCs w:val="27"/>
        </w:rPr>
        <w:t>代收隔拆</w:t>
      </w:r>
      <w:proofErr w:type="gramEnd"/>
      <w:r w:rsidR="008F0691">
        <w:rPr>
          <w:rFonts w:ascii="標楷體" w:eastAsia="標楷體" w:hAnsi="標楷體" w:cs="Arial" w:hint="eastAsia"/>
          <w:bCs/>
          <w:sz w:val="27"/>
          <w:szCs w:val="27"/>
        </w:rPr>
        <w:t>利率，</w:t>
      </w:r>
      <w:r w:rsidR="0071610D">
        <w:rPr>
          <w:rFonts w:ascii="標楷體" w:eastAsia="標楷體" w:hAnsi="標楷體" w:cs="Arial" w:hint="eastAsia"/>
          <w:bCs/>
          <w:sz w:val="27"/>
          <w:szCs w:val="27"/>
        </w:rPr>
        <w:t>又調降14天期</w:t>
      </w:r>
      <w:r w:rsidR="00E35AD8">
        <w:rPr>
          <w:rFonts w:ascii="標楷體" w:eastAsia="標楷體" w:hAnsi="標楷體" w:cs="Arial" w:hint="eastAsia"/>
          <w:bCs/>
          <w:sz w:val="27"/>
          <w:szCs w:val="27"/>
        </w:rPr>
        <w:t>定</w:t>
      </w:r>
      <w:r w:rsidR="0071610D" w:rsidRPr="0051454E">
        <w:rPr>
          <w:rFonts w:ascii="標楷體" w:eastAsia="標楷體" w:hAnsi="標楷體" w:cs="Arial" w:hint="eastAsia"/>
          <w:bCs/>
          <w:sz w:val="27"/>
          <w:szCs w:val="27"/>
        </w:rPr>
        <w:t>存單</w:t>
      </w:r>
      <w:r w:rsidR="0071610D">
        <w:rPr>
          <w:rFonts w:ascii="標楷體" w:eastAsia="標楷體" w:hAnsi="標楷體" w:cs="Arial" w:hint="eastAsia"/>
          <w:bCs/>
          <w:sz w:val="27"/>
          <w:szCs w:val="27"/>
        </w:rPr>
        <w:t>利率</w:t>
      </w:r>
      <w:r w:rsidR="009E40DA">
        <w:rPr>
          <w:rFonts w:ascii="標楷體" w:eastAsia="標楷體" w:hAnsi="標楷體" w:cs="Arial" w:hint="eastAsia"/>
          <w:bCs/>
          <w:sz w:val="27"/>
          <w:szCs w:val="27"/>
        </w:rPr>
        <w:t>，</w:t>
      </w:r>
      <w:r w:rsidR="00A3030D">
        <w:rPr>
          <w:rFonts w:ascii="標楷體" w:eastAsia="標楷體" w:hAnsi="標楷體" w:cs="Arial" w:hint="eastAsia"/>
          <w:bCs/>
          <w:sz w:val="27"/>
          <w:szCs w:val="27"/>
        </w:rPr>
        <w:t>均</w:t>
      </w:r>
      <w:r w:rsidR="00304034">
        <w:rPr>
          <w:rFonts w:ascii="標楷體" w:eastAsia="標楷體" w:hAnsi="標楷體" w:cs="Arial" w:hint="eastAsia"/>
          <w:bCs/>
          <w:sz w:val="27"/>
          <w:szCs w:val="27"/>
        </w:rPr>
        <w:t>影響</w:t>
      </w:r>
      <w:r w:rsidR="00244816" w:rsidRPr="0051454E">
        <w:rPr>
          <w:rFonts w:ascii="標楷體" w:eastAsia="標楷體" w:hAnsi="標楷體" w:cs="Arial" w:hint="eastAsia"/>
          <w:bCs/>
          <w:sz w:val="27"/>
          <w:szCs w:val="27"/>
        </w:rPr>
        <w:t>短率下滑氣氛</w:t>
      </w:r>
      <w:r w:rsidR="00244816">
        <w:rPr>
          <w:rFonts w:ascii="標楷體" w:eastAsia="標楷體" w:hAnsi="標楷體" w:cs="Arial" w:hint="eastAsia"/>
          <w:bCs/>
          <w:sz w:val="27"/>
          <w:szCs w:val="27"/>
        </w:rPr>
        <w:t>濃厚</w:t>
      </w:r>
      <w:r w:rsidR="0023664E">
        <w:rPr>
          <w:rFonts w:ascii="標楷體" w:eastAsia="標楷體" w:hAnsi="標楷體" w:cs="Arial" w:hint="eastAsia"/>
          <w:bCs/>
          <w:sz w:val="27"/>
          <w:szCs w:val="27"/>
        </w:rPr>
        <w:t>，</w:t>
      </w:r>
      <w:r w:rsidR="0023664E" w:rsidRPr="003753F6">
        <w:rPr>
          <w:rFonts w:ascii="標楷體" w:eastAsia="標楷體" w:hAnsi="標楷體" w:cs="Arial" w:hint="eastAsia"/>
          <w:sz w:val="27"/>
          <w:szCs w:val="27"/>
        </w:rPr>
        <w:t>郵局</w:t>
      </w:r>
      <w:r w:rsidR="0023664E">
        <w:rPr>
          <w:rFonts w:ascii="標楷體" w:eastAsia="標楷體" w:hAnsi="標楷體" w:cs="Arial" w:hint="eastAsia"/>
          <w:sz w:val="27"/>
          <w:szCs w:val="27"/>
        </w:rPr>
        <w:t>亦進一步</w:t>
      </w:r>
      <w:r w:rsidR="0023664E" w:rsidRPr="003753F6">
        <w:rPr>
          <w:rFonts w:ascii="標楷體" w:eastAsia="標楷體" w:hAnsi="標楷體" w:cs="Arial" w:hint="eastAsia"/>
          <w:sz w:val="27"/>
          <w:szCs w:val="27"/>
        </w:rPr>
        <w:t>調降短票</w:t>
      </w:r>
      <w:proofErr w:type="gramStart"/>
      <w:r w:rsidR="0023664E">
        <w:rPr>
          <w:rFonts w:ascii="標楷體" w:eastAsia="標楷體" w:hAnsi="標楷體" w:cs="Arial" w:hint="eastAsia"/>
          <w:sz w:val="27"/>
          <w:szCs w:val="27"/>
        </w:rPr>
        <w:t>承作</w:t>
      </w:r>
      <w:proofErr w:type="gramEnd"/>
      <w:r w:rsidR="0023664E" w:rsidRPr="003753F6">
        <w:rPr>
          <w:rFonts w:ascii="標楷體" w:eastAsia="標楷體" w:hAnsi="標楷體" w:cs="Arial" w:hint="eastAsia"/>
          <w:sz w:val="27"/>
          <w:szCs w:val="27"/>
        </w:rPr>
        <w:t>利率</w:t>
      </w:r>
      <w:r w:rsidR="0023664E">
        <w:rPr>
          <w:rFonts w:ascii="標楷體" w:eastAsia="標楷體" w:hAnsi="標楷體" w:cs="Arial" w:hint="eastAsia"/>
          <w:sz w:val="27"/>
          <w:szCs w:val="27"/>
        </w:rPr>
        <w:t>至0.52%</w:t>
      </w:r>
      <w:r w:rsidR="0023664E" w:rsidRPr="003753F6">
        <w:rPr>
          <w:rFonts w:ascii="標楷體" w:eastAsia="標楷體" w:hAnsi="標楷體" w:cs="Arial" w:hint="eastAsia"/>
          <w:sz w:val="27"/>
          <w:szCs w:val="27"/>
        </w:rPr>
        <w:t>，</w:t>
      </w:r>
      <w:r w:rsidR="0023664E">
        <w:rPr>
          <w:rFonts w:ascii="標楷體" w:eastAsia="標楷體" w:hAnsi="標楷體" w:cs="Arial" w:hint="eastAsia"/>
          <w:sz w:val="27"/>
          <w:szCs w:val="27"/>
        </w:rPr>
        <w:t>增添</w:t>
      </w:r>
      <w:r w:rsidR="0023664E" w:rsidRPr="003753F6">
        <w:rPr>
          <w:rFonts w:ascii="標楷體" w:eastAsia="標楷體" w:hAnsi="標楷體" w:cs="Arial" w:hint="eastAsia"/>
          <w:sz w:val="27"/>
          <w:szCs w:val="27"/>
        </w:rPr>
        <w:t>利</w:t>
      </w:r>
      <w:r w:rsidR="0023664E">
        <w:rPr>
          <w:rFonts w:ascii="標楷體" w:eastAsia="標楷體" w:hAnsi="標楷體" w:cs="Arial" w:hint="eastAsia"/>
          <w:sz w:val="27"/>
          <w:szCs w:val="27"/>
        </w:rPr>
        <w:t>率下滑動能</w:t>
      </w:r>
      <w:r w:rsidR="002846B6" w:rsidRPr="009F0C91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30天票券次級利率成交區間在</w:t>
      </w:r>
      <w:r w:rsidR="000D44D2">
        <w:rPr>
          <w:rFonts w:ascii="標楷體" w:eastAsia="標楷體" w:hAnsi="標楷體" w:hint="eastAsia"/>
          <w:bCs/>
          <w:sz w:val="27"/>
          <w:szCs w:val="27"/>
        </w:rPr>
        <w:t>0.5</w:t>
      </w:r>
      <w:r w:rsidR="000D44D2">
        <w:rPr>
          <w:rFonts w:ascii="標楷體" w:eastAsia="標楷體" w:hAnsi="標楷體"/>
          <w:bCs/>
          <w:sz w:val="27"/>
          <w:szCs w:val="27"/>
        </w:rPr>
        <w:t>0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%~0.5</w:t>
      </w:r>
      <w:r w:rsidR="000D44D2">
        <w:rPr>
          <w:rFonts w:ascii="標楷體" w:eastAsia="標楷體" w:hAnsi="標楷體"/>
          <w:bCs/>
          <w:sz w:val="27"/>
          <w:szCs w:val="27"/>
        </w:rPr>
        <w:t>4</w:t>
      </w:r>
      <w:bookmarkStart w:id="0" w:name="_GoBack"/>
      <w:bookmarkEnd w:id="0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A12757">
        <w:rPr>
          <w:rFonts w:ascii="標楷體" w:eastAsia="標楷體" w:hAnsi="標楷體" w:hint="eastAsia"/>
          <w:bCs/>
          <w:sz w:val="27"/>
          <w:szCs w:val="27"/>
        </w:rPr>
        <w:t>4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27912">
        <w:rPr>
          <w:rFonts w:ascii="標楷體" w:eastAsia="標楷體" w:hAnsi="標楷體" w:hint="eastAsia"/>
          <w:color w:val="auto"/>
          <w:sz w:val="27"/>
          <w:szCs w:val="27"/>
        </w:rPr>
        <w:t>匯率方面，</w:t>
      </w:r>
      <w:r w:rsidR="00502FF8">
        <w:rPr>
          <w:rFonts w:ascii="標楷體" w:eastAsia="標楷體" w:hAnsi="標楷體" w:hint="eastAsia"/>
          <w:sz w:val="27"/>
          <w:szCs w:val="27"/>
        </w:rPr>
        <w:t>上</w:t>
      </w:r>
      <w:r w:rsidR="00502FF8" w:rsidRPr="006A7CD0">
        <w:rPr>
          <w:rFonts w:ascii="標楷體" w:eastAsia="標楷體" w:hAnsi="標楷體" w:hint="eastAsia"/>
          <w:sz w:val="27"/>
          <w:szCs w:val="27"/>
        </w:rPr>
        <w:t>周</w:t>
      </w:r>
      <w:r w:rsidR="00502FF8">
        <w:rPr>
          <w:rFonts w:ascii="標楷體" w:eastAsia="標楷體" w:hAnsi="標楷體" w:hint="eastAsia"/>
          <w:sz w:val="27"/>
          <w:szCs w:val="27"/>
        </w:rPr>
        <w:t>二</w:t>
      </w:r>
      <w:proofErr w:type="gramStart"/>
      <w:r w:rsidR="00852249" w:rsidRPr="00852249">
        <w:rPr>
          <w:rFonts w:ascii="標楷體" w:eastAsia="標楷體" w:hAnsi="標楷體"/>
          <w:color w:val="auto"/>
          <w:sz w:val="27"/>
          <w:szCs w:val="27"/>
        </w:rPr>
        <w:t>中國人行祭出</w:t>
      </w:r>
      <w:proofErr w:type="gramEnd"/>
      <w:r w:rsidR="00852249" w:rsidRPr="00852249">
        <w:rPr>
          <w:rFonts w:ascii="標楷體" w:eastAsia="標楷體" w:hAnsi="標楷體"/>
          <w:color w:val="auto"/>
          <w:sz w:val="27"/>
          <w:szCs w:val="27"/>
        </w:rPr>
        <w:t>完善人民幣匯率中間價報價政策</w:t>
      </w:r>
      <w:r w:rsidR="00852249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852249">
        <w:rPr>
          <w:rFonts w:ascii="標楷體" w:eastAsia="標楷體" w:hAnsi="標楷體" w:hint="eastAsia"/>
          <w:sz w:val="27"/>
          <w:szCs w:val="27"/>
        </w:rPr>
        <w:t>當日</w:t>
      </w:r>
      <w:r w:rsidR="00852249" w:rsidRPr="00D301DA">
        <w:rPr>
          <w:rFonts w:ascii="標楷體" w:eastAsia="標楷體" w:hAnsi="標楷體"/>
          <w:sz w:val="27"/>
          <w:szCs w:val="27"/>
        </w:rPr>
        <w:t>並一次性貶值近2%</w:t>
      </w:r>
      <w:r w:rsidR="00852249" w:rsidRPr="00852249">
        <w:rPr>
          <w:rFonts w:ascii="標楷體" w:eastAsia="標楷體" w:hAnsi="標楷體"/>
          <w:color w:val="auto"/>
          <w:sz w:val="27"/>
          <w:szCs w:val="27"/>
        </w:rPr>
        <w:t>，引爆亞洲股</w:t>
      </w:r>
      <w:proofErr w:type="gramStart"/>
      <w:r w:rsidR="00852249" w:rsidRPr="00852249">
        <w:rPr>
          <w:rFonts w:ascii="標楷體" w:eastAsia="標楷體" w:hAnsi="標楷體"/>
          <w:color w:val="auto"/>
          <w:sz w:val="27"/>
          <w:szCs w:val="27"/>
        </w:rPr>
        <w:t>匯</w:t>
      </w:r>
      <w:proofErr w:type="gramEnd"/>
      <w:r w:rsidR="00852249" w:rsidRPr="00852249">
        <w:rPr>
          <w:rFonts w:ascii="標楷體" w:eastAsia="標楷體" w:hAnsi="標楷體"/>
          <w:color w:val="auto"/>
          <w:sz w:val="27"/>
          <w:szCs w:val="27"/>
        </w:rPr>
        <w:t>市大幅震盪，</w:t>
      </w:r>
      <w:r w:rsidR="00852249">
        <w:rPr>
          <w:rFonts w:ascii="標楷體" w:eastAsia="標楷體" w:hAnsi="標楷體" w:hint="eastAsia"/>
          <w:sz w:val="27"/>
          <w:szCs w:val="27"/>
        </w:rPr>
        <w:t>爾後</w:t>
      </w:r>
      <w:r w:rsidR="007F5399" w:rsidRPr="00852249">
        <w:rPr>
          <w:rFonts w:ascii="標楷體" w:eastAsia="標楷體" w:hAnsi="標楷體"/>
          <w:color w:val="auto"/>
          <w:sz w:val="27"/>
          <w:szCs w:val="27"/>
        </w:rPr>
        <w:t>人行</w:t>
      </w:r>
      <w:r w:rsidR="00852249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852249" w:rsidRPr="00D301DA">
        <w:rPr>
          <w:rFonts w:ascii="標楷體" w:eastAsia="標楷體" w:hAnsi="標楷體"/>
          <w:sz w:val="27"/>
          <w:szCs w:val="27"/>
        </w:rPr>
        <w:t>連續強降人民幣</w:t>
      </w:r>
      <w:proofErr w:type="gramEnd"/>
      <w:r w:rsidR="00852249" w:rsidRPr="00D301DA">
        <w:rPr>
          <w:rFonts w:ascii="標楷體" w:eastAsia="標楷體" w:hAnsi="標楷體"/>
          <w:sz w:val="27"/>
          <w:szCs w:val="27"/>
        </w:rPr>
        <w:t>定價基準，引發新一波貨幣競貶，</w:t>
      </w:r>
      <w:r w:rsidR="00852249" w:rsidRPr="00570201">
        <w:rPr>
          <w:rFonts w:ascii="標楷體" w:eastAsia="標楷體" w:hAnsi="標楷體"/>
          <w:sz w:val="27"/>
          <w:szCs w:val="27"/>
        </w:rPr>
        <w:t>新台幣匯率在央行默許下</w:t>
      </w:r>
      <w:r w:rsidR="00A3030D">
        <w:rPr>
          <w:rFonts w:ascii="標楷體" w:eastAsia="標楷體" w:hAnsi="標楷體" w:hint="eastAsia"/>
          <w:sz w:val="27"/>
          <w:szCs w:val="27"/>
        </w:rPr>
        <w:t>亦呈</w:t>
      </w:r>
      <w:r w:rsidR="00852249" w:rsidRPr="00570201">
        <w:rPr>
          <w:rFonts w:ascii="標楷體" w:eastAsia="標楷體" w:hAnsi="標楷體"/>
          <w:sz w:val="27"/>
          <w:szCs w:val="27"/>
        </w:rPr>
        <w:t>重貶</w:t>
      </w:r>
      <w:r w:rsidR="00203440">
        <w:rPr>
          <w:rFonts w:ascii="標楷體" w:eastAsia="標楷體" w:hAnsi="標楷體" w:hint="eastAsia"/>
          <w:sz w:val="27"/>
          <w:szCs w:val="27"/>
        </w:rPr>
        <w:t>，</w:t>
      </w:r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成交區間落在</w:t>
      </w:r>
      <w:r w:rsidR="009074EA" w:rsidRPr="00BA4DDA">
        <w:rPr>
          <w:rFonts w:ascii="標楷體" w:eastAsia="標楷體" w:hAnsi="標楷體" w:hint="eastAsia"/>
          <w:color w:val="auto"/>
          <w:sz w:val="27"/>
          <w:szCs w:val="27"/>
        </w:rPr>
        <w:t>31.</w:t>
      </w:r>
      <w:r w:rsidR="00BA4DDA" w:rsidRPr="00BA4DDA">
        <w:rPr>
          <w:rFonts w:ascii="標楷體" w:eastAsia="標楷體" w:hAnsi="標楷體"/>
          <w:color w:val="auto"/>
          <w:sz w:val="27"/>
          <w:szCs w:val="27"/>
        </w:rPr>
        <w:t>555</w:t>
      </w:r>
      <w:r w:rsidR="009074EA" w:rsidRPr="00BA4DDA">
        <w:rPr>
          <w:rFonts w:ascii="標楷體" w:eastAsia="標楷體" w:hAnsi="標楷體" w:hint="eastAsia"/>
          <w:color w:val="auto"/>
          <w:sz w:val="27"/>
          <w:szCs w:val="27"/>
        </w:rPr>
        <w:t>~</w:t>
      </w:r>
      <w:r w:rsidR="00BA4DDA" w:rsidRPr="00BA4DDA">
        <w:rPr>
          <w:rFonts w:ascii="標楷體" w:eastAsia="標楷體" w:hAnsi="標楷體" w:hint="eastAsia"/>
          <w:color w:val="auto"/>
          <w:sz w:val="27"/>
          <w:szCs w:val="27"/>
        </w:rPr>
        <w:t>3</w:t>
      </w:r>
      <w:r w:rsidR="00BA4DDA" w:rsidRPr="00BA4DDA">
        <w:rPr>
          <w:rFonts w:ascii="標楷體" w:eastAsia="標楷體" w:hAnsi="標楷體"/>
          <w:color w:val="auto"/>
          <w:sz w:val="27"/>
          <w:szCs w:val="27"/>
        </w:rPr>
        <w:t>2</w:t>
      </w:r>
      <w:r w:rsidR="009074EA" w:rsidRPr="00BA4DDA">
        <w:rPr>
          <w:rFonts w:ascii="標楷體" w:eastAsia="標楷體" w:hAnsi="標楷體" w:hint="eastAsia"/>
          <w:color w:val="auto"/>
          <w:sz w:val="27"/>
          <w:szCs w:val="27"/>
        </w:rPr>
        <w:t>.</w:t>
      </w:r>
      <w:r w:rsidR="00BA4DDA" w:rsidRPr="00BA4DDA">
        <w:rPr>
          <w:rFonts w:ascii="標楷體" w:eastAsia="標楷體" w:hAnsi="標楷體"/>
          <w:color w:val="auto"/>
          <w:sz w:val="27"/>
          <w:szCs w:val="27"/>
        </w:rPr>
        <w:t>465</w:t>
      </w:r>
      <w:r w:rsidR="009074EA" w:rsidRPr="00027912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991E80" w:rsidRPr="00027912">
        <w:rPr>
          <w:rFonts w:ascii="標楷體" w:eastAsia="標楷體" w:hAnsi="標楷體" w:cs="Courier New"/>
          <w:color w:val="auto"/>
          <w:sz w:val="27"/>
          <w:szCs w:val="27"/>
        </w:rPr>
        <w:t xml:space="preserve"> </w:t>
      </w:r>
    </w:p>
    <w:p w:rsidR="00FF54DD" w:rsidRPr="001B2468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FA1D65" w:rsidRPr="00B46926" w:rsidRDefault="00220DAB" w:rsidP="00220DAB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本周寬鬆因素為央行存單屆期</w:t>
      </w:r>
      <w:r w:rsidRPr="00220DAB">
        <w:rPr>
          <w:rFonts w:ascii="標楷體" w:eastAsia="標楷體" w:hAnsi="標楷體" w:cs="新細明體"/>
          <w:kern w:val="0"/>
          <w:sz w:val="27"/>
          <w:szCs w:val="27"/>
        </w:rPr>
        <w:t>1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兆</w:t>
      </w:r>
      <w:r w:rsidR="0039190F">
        <w:rPr>
          <w:rFonts w:ascii="標楷體" w:eastAsia="標楷體" w:hAnsi="標楷體" w:cs="新細明體" w:hint="eastAsia"/>
          <w:kern w:val="0"/>
          <w:sz w:val="27"/>
          <w:szCs w:val="27"/>
        </w:rPr>
        <w:t>9</w:t>
      </w:r>
      <w:r w:rsidRPr="00220DAB">
        <w:rPr>
          <w:rFonts w:ascii="標楷體" w:eastAsia="標楷體" w:hAnsi="標楷體" w:cs="新細明體"/>
          <w:kern w:val="0"/>
          <w:sz w:val="27"/>
          <w:szCs w:val="27"/>
        </w:rPr>
        <w:t>,</w:t>
      </w:r>
      <w:r w:rsidR="0039190F">
        <w:rPr>
          <w:rFonts w:ascii="標楷體" w:eastAsia="標楷體" w:hAnsi="標楷體" w:cs="新細明體" w:hint="eastAsia"/>
          <w:kern w:val="0"/>
          <w:sz w:val="27"/>
          <w:szCs w:val="27"/>
        </w:rPr>
        <w:t>99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5.</w:t>
      </w:r>
      <w:r w:rsidR="0039190F">
        <w:rPr>
          <w:rFonts w:ascii="標楷體" w:eastAsia="標楷體" w:hAnsi="標楷體" w:cs="新細明體" w:hint="eastAsia"/>
          <w:kern w:val="0"/>
          <w:sz w:val="27"/>
          <w:szCs w:val="27"/>
        </w:rPr>
        <w:t>10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億元，緊縮因素則為</w:t>
      </w:r>
      <w:r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CD4079">
        <w:rPr>
          <w:rFonts w:ascii="標楷體" w:eastAsia="標楷體" w:hAnsi="標楷體" w:hint="eastAsia"/>
          <w:sz w:val="27"/>
          <w:szCs w:val="27"/>
        </w:rPr>
        <w:t>在</w:t>
      </w:r>
      <w:r w:rsidR="003B6C84">
        <w:rPr>
          <w:rFonts w:ascii="標楷體" w:eastAsia="標楷體" w:hAnsi="標楷體" w:hint="eastAsia"/>
          <w:sz w:val="27"/>
          <w:szCs w:val="27"/>
        </w:rPr>
        <w:t>上</w:t>
      </w:r>
      <w:r w:rsidR="003B6C84" w:rsidRPr="006A7CD0">
        <w:rPr>
          <w:rFonts w:ascii="標楷體" w:eastAsia="標楷體" w:hAnsi="標楷體" w:hint="eastAsia"/>
          <w:sz w:val="27"/>
          <w:szCs w:val="27"/>
        </w:rPr>
        <w:t>周</w:t>
      </w:r>
      <w:r w:rsidR="003B6C84">
        <w:rPr>
          <w:rFonts w:ascii="標楷體" w:eastAsia="標楷體" w:hAnsi="標楷體" w:cs="Arial" w:hint="eastAsia"/>
          <w:bCs/>
          <w:sz w:val="27"/>
          <w:szCs w:val="27"/>
        </w:rPr>
        <w:t>央行</w:t>
      </w:r>
      <w:r w:rsidR="00D21356">
        <w:rPr>
          <w:rFonts w:ascii="標楷體" w:eastAsia="標楷體" w:hAnsi="標楷體" w:cs="Arial" w:hint="eastAsia"/>
          <w:bCs/>
          <w:sz w:val="27"/>
          <w:szCs w:val="27"/>
        </w:rPr>
        <w:t>出現</w:t>
      </w:r>
      <w:r w:rsidR="00CD4079">
        <w:rPr>
          <w:rFonts w:ascii="標楷體" w:eastAsia="標楷體" w:hAnsi="標楷體" w:cs="Arial" w:hint="eastAsia"/>
          <w:bCs/>
          <w:sz w:val="27"/>
          <w:szCs w:val="27"/>
        </w:rPr>
        <w:t>連續</w:t>
      </w:r>
      <w:r w:rsidR="003B6C84">
        <w:rPr>
          <w:rFonts w:ascii="標楷體" w:eastAsia="標楷體" w:hAnsi="標楷體" w:cs="Arial" w:hint="eastAsia"/>
          <w:bCs/>
          <w:sz w:val="27"/>
          <w:szCs w:val="27"/>
        </w:rPr>
        <w:t>調降委託銀行代收隔拆利率</w:t>
      </w:r>
      <w:r w:rsidR="00D21356">
        <w:rPr>
          <w:rFonts w:ascii="標楷體" w:eastAsia="標楷體" w:hAnsi="標楷體" w:cs="Arial" w:hint="eastAsia"/>
          <w:bCs/>
          <w:sz w:val="27"/>
          <w:szCs w:val="27"/>
        </w:rPr>
        <w:t>動作後</w:t>
      </w:r>
      <w:r w:rsidR="003B6C84">
        <w:rPr>
          <w:rFonts w:ascii="標楷體" w:eastAsia="標楷體" w:hAnsi="標楷體" w:cs="Arial" w:hint="eastAsia"/>
          <w:kern w:val="0"/>
          <w:sz w:val="27"/>
          <w:szCs w:val="27"/>
        </w:rPr>
        <w:t>，資金需求方多有向下調降報價動作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6D340D">
        <w:rPr>
          <w:rFonts w:ascii="標楷體" w:eastAsia="標楷體" w:hAnsi="標楷體" w:cs="Arial" w:hint="eastAsia"/>
          <w:kern w:val="0"/>
          <w:sz w:val="27"/>
          <w:szCs w:val="27"/>
        </w:rPr>
        <w:t>影響</w:t>
      </w:r>
      <w:r w:rsidR="00D21356" w:rsidRPr="00220DAB">
        <w:rPr>
          <w:rFonts w:ascii="標楷體" w:eastAsia="標楷體" w:hAnsi="標楷體" w:cs="Arial" w:hint="eastAsia"/>
          <w:kern w:val="0"/>
          <w:sz w:val="27"/>
          <w:szCs w:val="27"/>
        </w:rPr>
        <w:t>短率</w:t>
      </w:r>
      <w:r w:rsidR="00C1148E">
        <w:rPr>
          <w:rFonts w:ascii="標楷體" w:eastAsia="標楷體" w:hAnsi="標楷體" w:cs="Arial" w:hint="eastAsia"/>
          <w:kern w:val="0"/>
          <w:sz w:val="27"/>
          <w:szCs w:val="27"/>
        </w:rPr>
        <w:t>陸續</w:t>
      </w:r>
      <w:r w:rsidR="00D21356" w:rsidRPr="00220DAB">
        <w:rPr>
          <w:rFonts w:ascii="標楷體" w:eastAsia="標楷體" w:hAnsi="標楷體" w:cs="Arial" w:hint="eastAsia"/>
          <w:kern w:val="0"/>
          <w:sz w:val="27"/>
          <w:szCs w:val="27"/>
        </w:rPr>
        <w:t>向下</w:t>
      </w:r>
      <w:r w:rsidR="00D21356">
        <w:rPr>
          <w:rFonts w:ascii="標楷體" w:eastAsia="標楷體" w:hAnsi="標楷體" w:cs="Arial" w:hint="eastAsia"/>
          <w:kern w:val="0"/>
          <w:sz w:val="27"/>
          <w:szCs w:val="27"/>
        </w:rPr>
        <w:t>成交</w:t>
      </w:r>
      <w:r w:rsidR="00D96EAE">
        <w:rPr>
          <w:rFonts w:ascii="標楷體" w:eastAsia="標楷體" w:hAnsi="標楷體" w:cs="Arial" w:hint="eastAsia"/>
          <w:kern w:val="0"/>
          <w:sz w:val="27"/>
          <w:szCs w:val="27"/>
        </w:rPr>
        <w:t>趨勢</w:t>
      </w:r>
      <w:r w:rsidR="00D21356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D21356">
        <w:rPr>
          <w:rFonts w:ascii="標楷體" w:eastAsia="標楷體" w:hAnsi="標楷體" w:cs="Arial" w:hint="eastAsia"/>
          <w:kern w:val="0"/>
          <w:sz w:val="27"/>
          <w:szCs w:val="27"/>
        </w:rPr>
        <w:t>市場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發票量少，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買</w:t>
      </w:r>
      <w:r w:rsidR="00C060E6" w:rsidRPr="00220DAB">
        <w:rPr>
          <w:rFonts w:ascii="標楷體" w:eastAsia="標楷體" w:hAnsi="標楷體" w:cs="Arial" w:hint="eastAsia"/>
          <w:kern w:val="0"/>
          <w:sz w:val="27"/>
          <w:szCs w:val="27"/>
        </w:rPr>
        <w:t>票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需求者眾，票券調度上</w:t>
      </w:r>
      <w:r w:rsidR="006D340D">
        <w:rPr>
          <w:rFonts w:ascii="標楷體" w:eastAsia="標楷體" w:hAnsi="標楷體" w:cs="Arial" w:hint="eastAsia"/>
          <w:kern w:val="0"/>
          <w:sz w:val="27"/>
          <w:szCs w:val="27"/>
        </w:rPr>
        <w:t>應</w:t>
      </w:r>
      <w:r w:rsidR="00C1148E">
        <w:rPr>
          <w:rFonts w:ascii="標楷體" w:eastAsia="標楷體" w:hAnsi="標楷體" w:cs="Arial" w:hint="eastAsia"/>
          <w:kern w:val="0"/>
          <w:sz w:val="27"/>
          <w:szCs w:val="27"/>
        </w:rPr>
        <w:t>當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不急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於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賣斷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可暫先以便宜RP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短錢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支應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缺口</w:t>
      </w:r>
      <w:r w:rsidR="00C060E6">
        <w:rPr>
          <w:rFonts w:ascii="標楷體" w:eastAsia="標楷體" w:hAnsi="標楷體" w:cs="Arial" w:hint="eastAsia"/>
          <w:kern w:val="0"/>
          <w:sz w:val="27"/>
          <w:szCs w:val="27"/>
        </w:rPr>
        <w:t>，待利率</w:t>
      </w:r>
      <w:r w:rsidR="002C1C8E">
        <w:rPr>
          <w:rFonts w:ascii="標楷體" w:eastAsia="標楷體" w:hAnsi="標楷體" w:cs="Arial" w:hint="eastAsia"/>
          <w:kern w:val="0"/>
          <w:sz w:val="27"/>
          <w:szCs w:val="27"/>
        </w:rPr>
        <w:t>低點浮現</w:t>
      </w:r>
      <w:r w:rsidR="007B63C7">
        <w:rPr>
          <w:rFonts w:ascii="標楷體" w:eastAsia="標楷體" w:hAnsi="標楷體" w:cs="Arial" w:hint="eastAsia"/>
          <w:kern w:val="0"/>
          <w:sz w:val="27"/>
          <w:szCs w:val="27"/>
        </w:rPr>
        <w:t>後</w:t>
      </w:r>
      <w:r w:rsidR="002C1C8E">
        <w:rPr>
          <w:rFonts w:ascii="標楷體" w:eastAsia="標楷體" w:hAnsi="標楷體" w:cs="Arial" w:hint="eastAsia"/>
          <w:kern w:val="0"/>
          <w:sz w:val="27"/>
          <w:szCs w:val="27"/>
        </w:rPr>
        <w:t>再行賣斷擴大</w:t>
      </w:r>
      <w:r w:rsidR="00186C73">
        <w:rPr>
          <w:rFonts w:ascii="標楷體" w:eastAsia="標楷體" w:hAnsi="標楷體" w:cs="Arial" w:hint="eastAsia"/>
          <w:kern w:val="0"/>
          <w:sz w:val="27"/>
          <w:szCs w:val="27"/>
        </w:rPr>
        <w:t>收</w:t>
      </w:r>
      <w:r w:rsidR="002C1C8E">
        <w:rPr>
          <w:rFonts w:ascii="標楷體" w:eastAsia="標楷體" w:hAnsi="標楷體" w:cs="Arial" w:hint="eastAsia"/>
          <w:kern w:val="0"/>
          <w:sz w:val="27"/>
          <w:szCs w:val="27"/>
        </w:rPr>
        <w:t>益</w:t>
      </w:r>
      <w:r w:rsidR="00714249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，</w:t>
      </w:r>
      <w:r w:rsidR="00186C73" w:rsidRPr="00220DAB">
        <w:rPr>
          <w:rFonts w:ascii="標楷體" w:eastAsia="標楷體" w:hAnsi="標楷體" w:cs="Arial" w:hint="eastAsia"/>
          <w:kern w:val="0"/>
          <w:sz w:val="27"/>
          <w:szCs w:val="27"/>
        </w:rPr>
        <w:t>拆款</w:t>
      </w:r>
      <w:r w:rsidR="0080068A">
        <w:rPr>
          <w:rFonts w:ascii="標楷體" w:eastAsia="標楷體" w:hAnsi="標楷體" w:cs="Arial" w:hint="eastAsia"/>
          <w:kern w:val="0"/>
          <w:sz w:val="27"/>
          <w:szCs w:val="27"/>
        </w:rPr>
        <w:t>部位則</w:t>
      </w:r>
      <w:r w:rsidR="00C1148E">
        <w:rPr>
          <w:rFonts w:ascii="標楷體" w:eastAsia="標楷體" w:hAnsi="標楷體" w:cs="Arial" w:hint="eastAsia"/>
          <w:kern w:val="0"/>
          <w:sz w:val="27"/>
          <w:szCs w:val="27"/>
        </w:rPr>
        <w:t>可趁資金寬鬆</w:t>
      </w:r>
      <w:r w:rsidR="009E7E52">
        <w:rPr>
          <w:rFonts w:ascii="標楷體" w:eastAsia="標楷體" w:hAnsi="標楷體" w:cs="Arial" w:hint="eastAsia"/>
          <w:kern w:val="0"/>
          <w:sz w:val="27"/>
          <w:szCs w:val="27"/>
        </w:rPr>
        <w:t>之際，</w:t>
      </w:r>
      <w:r w:rsidR="0080068A">
        <w:rPr>
          <w:rFonts w:ascii="標楷體" w:eastAsia="標楷體" w:hAnsi="標楷體" w:cs="Arial" w:hint="eastAsia"/>
          <w:kern w:val="0"/>
          <w:sz w:val="27"/>
          <w:szCs w:val="27"/>
        </w:rPr>
        <w:t>維持</w:t>
      </w:r>
      <w:r w:rsidR="002F7A88">
        <w:rPr>
          <w:rFonts w:ascii="標楷體" w:eastAsia="標楷體" w:hAnsi="標楷體" w:cs="Arial" w:hint="eastAsia"/>
          <w:kern w:val="0"/>
          <w:sz w:val="27"/>
          <w:szCs w:val="27"/>
        </w:rPr>
        <w:t>在高檔水位，並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平均分散</w:t>
      </w:r>
      <w:r w:rsidR="002F7A88" w:rsidRPr="00220DAB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落</w:t>
      </w:r>
      <w:r w:rsidR="00186C73">
        <w:rPr>
          <w:rFonts w:ascii="標楷體" w:eastAsia="標楷體" w:hAnsi="標楷體" w:cs="Arial" w:hint="eastAsia"/>
          <w:kern w:val="0"/>
          <w:sz w:val="27"/>
          <w:szCs w:val="27"/>
        </w:rPr>
        <w:t>點為主</w:t>
      </w:r>
      <w:r w:rsidRPr="00220DAB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。</w:t>
      </w:r>
      <w:r w:rsidR="00D10F2C" w:rsidRPr="00027912">
        <w:rPr>
          <w:rFonts w:ascii="標楷體" w:eastAsia="標楷體" w:hAnsi="標楷體" w:hint="eastAsia"/>
          <w:sz w:val="27"/>
          <w:szCs w:val="27"/>
        </w:rPr>
        <w:t>匯率方面，</w:t>
      </w:r>
      <w:r w:rsidR="00FA1D65">
        <w:rPr>
          <w:rFonts w:ascii="標楷體" w:eastAsia="標楷體" w:hAnsi="標楷體" w:hint="eastAsia"/>
          <w:sz w:val="27"/>
          <w:szCs w:val="27"/>
        </w:rPr>
        <w:t>由於美國</w:t>
      </w:r>
      <w:r w:rsidR="00464895">
        <w:rPr>
          <w:rFonts w:ascii="標楷體" w:eastAsia="標楷體" w:hAnsi="標楷體" w:hint="eastAsia"/>
          <w:sz w:val="27"/>
          <w:szCs w:val="27"/>
        </w:rPr>
        <w:t>終將</w:t>
      </w:r>
      <w:r w:rsidR="00FA1D65">
        <w:rPr>
          <w:rFonts w:ascii="標楷體" w:eastAsia="標楷體" w:hAnsi="標楷體" w:hint="eastAsia"/>
          <w:sz w:val="27"/>
          <w:szCs w:val="27"/>
        </w:rPr>
        <w:t>升息</w:t>
      </w:r>
      <w:r w:rsidR="00464895">
        <w:rPr>
          <w:rFonts w:ascii="標楷體" w:eastAsia="標楷體" w:hAnsi="標楷體" w:hint="eastAsia"/>
          <w:sz w:val="27"/>
          <w:szCs w:val="27"/>
        </w:rPr>
        <w:t>，</w:t>
      </w:r>
      <w:r w:rsidR="00464895" w:rsidRPr="00502FF8">
        <w:rPr>
          <w:rFonts w:ascii="標楷體" w:eastAsia="標楷體" w:hAnsi="標楷體"/>
          <w:sz w:val="27"/>
          <w:szCs w:val="27"/>
        </w:rPr>
        <w:t>未來只會更強，</w:t>
      </w:r>
      <w:r w:rsidR="00697545">
        <w:rPr>
          <w:rFonts w:ascii="標楷體" w:eastAsia="標楷體" w:hAnsi="標楷體" w:hint="eastAsia"/>
          <w:sz w:val="27"/>
          <w:szCs w:val="27"/>
        </w:rPr>
        <w:t>而</w:t>
      </w:r>
      <w:r w:rsidR="00085065" w:rsidRPr="00085065">
        <w:rPr>
          <w:rFonts w:ascii="標楷體" w:eastAsia="標楷體" w:hAnsi="標楷體" w:cs="Times New Roman"/>
          <w:sz w:val="27"/>
          <w:szCs w:val="27"/>
        </w:rPr>
        <w:t>中國經濟成長放緩</w:t>
      </w:r>
      <w:r w:rsidR="00085065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223FB1" w:rsidRPr="00223FB1">
        <w:rPr>
          <w:rFonts w:ascii="標楷體" w:eastAsia="標楷體" w:hAnsi="標楷體" w:cs="Helvetica" w:hint="eastAsia"/>
          <w:color w:val="000000"/>
          <w:sz w:val="27"/>
          <w:szCs w:val="27"/>
        </w:rPr>
        <w:t>為避免</w:t>
      </w:r>
      <w:r w:rsidR="00223FB1" w:rsidRPr="00223FB1">
        <w:rPr>
          <w:rFonts w:ascii="標楷體" w:eastAsia="標楷體" w:hAnsi="標楷體" w:cs="Helvetica"/>
          <w:color w:val="000000"/>
          <w:sz w:val="27"/>
          <w:szCs w:val="27"/>
        </w:rPr>
        <w:t>下行風險</w:t>
      </w:r>
      <w:r w:rsidR="00223FB1">
        <w:rPr>
          <w:rFonts w:asciiTheme="minorEastAsia" w:hAnsiTheme="minorEastAsia" w:cs="Helvetica" w:hint="eastAsia"/>
          <w:color w:val="000000"/>
          <w:sz w:val="27"/>
          <w:szCs w:val="27"/>
        </w:rPr>
        <w:t>，</w:t>
      </w:r>
      <w:r w:rsidR="00C1148E" w:rsidRPr="00085065">
        <w:rPr>
          <w:rFonts w:ascii="標楷體" w:eastAsia="標楷體" w:hAnsi="標楷體" w:cs="Times New Roman"/>
          <w:sz w:val="27"/>
          <w:szCs w:val="27"/>
        </w:rPr>
        <w:t>人</w:t>
      </w:r>
      <w:r w:rsidR="00C1148E" w:rsidRPr="00C1148E">
        <w:rPr>
          <w:rFonts w:ascii="標楷體" w:eastAsia="標楷體" w:hAnsi="標楷體"/>
          <w:sz w:val="27"/>
          <w:szCs w:val="27"/>
        </w:rPr>
        <w:t>民幣匯率</w:t>
      </w:r>
      <w:r w:rsidR="00085065">
        <w:rPr>
          <w:rFonts w:ascii="標楷體" w:eastAsia="標楷體" w:hAnsi="標楷體" w:hint="eastAsia"/>
          <w:sz w:val="27"/>
          <w:szCs w:val="27"/>
        </w:rPr>
        <w:t>尚存在</w:t>
      </w:r>
      <w:r w:rsidR="00C1148E" w:rsidRPr="00C1148E">
        <w:rPr>
          <w:rFonts w:ascii="標楷體" w:eastAsia="標楷體" w:hAnsi="標楷體"/>
          <w:sz w:val="27"/>
          <w:szCs w:val="27"/>
        </w:rPr>
        <w:t>貶值空間，</w:t>
      </w:r>
      <w:r w:rsidR="00EA2E1A" w:rsidRPr="00C1148E">
        <w:rPr>
          <w:rFonts w:ascii="標楷體" w:eastAsia="標楷體" w:hAnsi="標楷體"/>
          <w:sz w:val="27"/>
          <w:szCs w:val="27"/>
        </w:rPr>
        <w:t>預估</w:t>
      </w:r>
      <w:r w:rsidR="00C1148E" w:rsidRPr="00C1148E">
        <w:rPr>
          <w:rFonts w:ascii="標楷體" w:eastAsia="標楷體" w:hAnsi="標楷體"/>
          <w:sz w:val="27"/>
          <w:szCs w:val="27"/>
        </w:rPr>
        <w:t>亞洲貨幣</w:t>
      </w:r>
      <w:r w:rsidR="00223FB1">
        <w:rPr>
          <w:rFonts w:ascii="標楷體" w:eastAsia="標楷體" w:hAnsi="標楷體" w:hint="eastAsia"/>
          <w:sz w:val="27"/>
          <w:szCs w:val="27"/>
        </w:rPr>
        <w:t>亦</w:t>
      </w:r>
      <w:r w:rsidR="00C1148E" w:rsidRPr="00C1148E">
        <w:rPr>
          <w:rFonts w:ascii="標楷體" w:eastAsia="標楷體" w:hAnsi="標楷體"/>
          <w:sz w:val="27"/>
          <w:szCs w:val="27"/>
        </w:rPr>
        <w:t>仍會跟進競貶，</w:t>
      </w:r>
      <w:r w:rsidR="005E4179" w:rsidRPr="00A12757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proofErr w:type="gramStart"/>
      <w:r w:rsidR="008D182F">
        <w:rPr>
          <w:rFonts w:ascii="標楷體" w:eastAsia="標楷體" w:hAnsi="標楷體" w:cs="新細明體" w:hint="eastAsia"/>
          <w:kern w:val="0"/>
          <w:sz w:val="27"/>
          <w:szCs w:val="27"/>
        </w:rPr>
        <w:t>匯</w:t>
      </w:r>
      <w:proofErr w:type="gramEnd"/>
      <w:r w:rsidR="008D182F">
        <w:rPr>
          <w:rFonts w:ascii="標楷體" w:eastAsia="標楷體" w:hAnsi="標楷體" w:cs="新細明體" w:hint="eastAsia"/>
          <w:kern w:val="0"/>
          <w:sz w:val="27"/>
          <w:szCs w:val="27"/>
        </w:rPr>
        <w:t>價</w:t>
      </w:r>
      <w:r w:rsidR="00713EBC">
        <w:rPr>
          <w:rFonts w:ascii="標楷體" w:eastAsia="標楷體" w:hAnsi="標楷體" w:cs="新細明體" w:hint="eastAsia"/>
          <w:kern w:val="0"/>
          <w:sz w:val="27"/>
          <w:szCs w:val="27"/>
        </w:rPr>
        <w:t>因此</w:t>
      </w:r>
      <w:r w:rsidR="008D182F">
        <w:rPr>
          <w:rFonts w:ascii="標楷體" w:eastAsia="標楷體" w:hAnsi="標楷體" w:cs="新細明體" w:hint="eastAsia"/>
          <w:kern w:val="0"/>
          <w:sz w:val="27"/>
          <w:szCs w:val="27"/>
        </w:rPr>
        <w:t>震盪</w:t>
      </w:r>
      <w:r w:rsidR="00713EBC">
        <w:rPr>
          <w:rFonts w:ascii="標楷體" w:eastAsia="標楷體" w:hAnsi="標楷體" w:cs="新細明體" w:hint="eastAsia"/>
          <w:kern w:val="0"/>
          <w:sz w:val="27"/>
          <w:szCs w:val="27"/>
        </w:rPr>
        <w:t>幅度</w:t>
      </w:r>
      <w:r w:rsidR="00523700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13EBC">
        <w:rPr>
          <w:rFonts w:ascii="標楷體" w:eastAsia="標楷體" w:hAnsi="標楷體" w:cs="新細明體" w:hint="eastAsia"/>
          <w:kern w:val="0"/>
          <w:sz w:val="27"/>
          <w:szCs w:val="27"/>
        </w:rPr>
        <w:t>隨之</w:t>
      </w:r>
      <w:r w:rsidR="008D182F">
        <w:rPr>
          <w:rFonts w:ascii="標楷體" w:eastAsia="標楷體" w:hAnsi="標楷體" w:cs="新細明體" w:hint="eastAsia"/>
          <w:kern w:val="0"/>
          <w:sz w:val="27"/>
          <w:szCs w:val="27"/>
        </w:rPr>
        <w:t>加大，</w:t>
      </w:r>
      <w:r w:rsidR="008D182F" w:rsidRPr="00027912">
        <w:rPr>
          <w:rFonts w:ascii="標楷體" w:eastAsia="標楷體" w:hAnsi="標楷體" w:hint="eastAsia"/>
          <w:sz w:val="27"/>
          <w:szCs w:val="27"/>
        </w:rPr>
        <w:t>預</w:t>
      </w:r>
      <w:r w:rsidR="008D182F">
        <w:rPr>
          <w:rFonts w:ascii="標楷體" w:eastAsia="標楷體" w:hAnsi="標楷體" w:hint="eastAsia"/>
          <w:sz w:val="27"/>
          <w:szCs w:val="27"/>
        </w:rPr>
        <w:t>測</w:t>
      </w:r>
      <w:r w:rsidR="008D182F" w:rsidRPr="00027912">
        <w:rPr>
          <w:rFonts w:ascii="標楷體" w:eastAsia="標楷體" w:hAnsi="標楷體" w:hint="eastAsia"/>
          <w:sz w:val="27"/>
          <w:szCs w:val="27"/>
        </w:rPr>
        <w:t>新台幣兌美元</w:t>
      </w:r>
      <w:r w:rsidR="00D345B1">
        <w:rPr>
          <w:rFonts w:ascii="標楷體" w:eastAsia="標楷體" w:hAnsi="標楷體" w:hint="eastAsia"/>
          <w:sz w:val="27"/>
          <w:szCs w:val="27"/>
        </w:rPr>
        <w:t>暫</w:t>
      </w:r>
      <w:r w:rsidR="008D182F" w:rsidRPr="00027912">
        <w:rPr>
          <w:rFonts w:ascii="標楷體" w:eastAsia="標楷體" w:hAnsi="標楷體" w:hint="eastAsia"/>
          <w:sz w:val="27"/>
          <w:szCs w:val="27"/>
        </w:rPr>
        <w:t>呈弱勢</w:t>
      </w:r>
      <w:r w:rsidR="00713EBC">
        <w:rPr>
          <w:rFonts w:ascii="標楷體" w:eastAsia="標楷體" w:hAnsi="標楷體" w:hint="eastAsia"/>
          <w:sz w:val="27"/>
          <w:szCs w:val="27"/>
        </w:rPr>
        <w:t>趨貶</w:t>
      </w:r>
      <w:r w:rsidR="008D182F" w:rsidRPr="00027912">
        <w:rPr>
          <w:rFonts w:ascii="標楷體" w:eastAsia="標楷體" w:hAnsi="標楷體" w:hint="eastAsia"/>
          <w:sz w:val="27"/>
          <w:szCs w:val="27"/>
        </w:rPr>
        <w:t>格局，成交區間落在</w:t>
      </w:r>
      <w:r w:rsidR="00B46926" w:rsidRPr="00B46926">
        <w:rPr>
          <w:rFonts w:ascii="標楷體" w:eastAsia="標楷體" w:hAnsi="標楷體" w:hint="eastAsia"/>
          <w:sz w:val="27"/>
          <w:szCs w:val="27"/>
        </w:rPr>
        <w:t>3</w:t>
      </w:r>
      <w:r w:rsidR="00B46926" w:rsidRPr="00B46926">
        <w:rPr>
          <w:rFonts w:ascii="標楷體" w:eastAsia="標楷體" w:hAnsi="標楷體"/>
          <w:sz w:val="27"/>
          <w:szCs w:val="27"/>
        </w:rPr>
        <w:t>2</w:t>
      </w:r>
      <w:r w:rsidR="008D182F" w:rsidRPr="00B46926">
        <w:rPr>
          <w:rFonts w:ascii="標楷體" w:eastAsia="標楷體" w:hAnsi="標楷體" w:hint="eastAsia"/>
          <w:sz w:val="27"/>
          <w:szCs w:val="27"/>
        </w:rPr>
        <w:t>.</w:t>
      </w:r>
      <w:r w:rsidR="00B46926" w:rsidRPr="00B46926">
        <w:rPr>
          <w:rFonts w:ascii="標楷體" w:eastAsia="標楷體" w:hAnsi="標楷體"/>
          <w:sz w:val="27"/>
          <w:szCs w:val="27"/>
        </w:rPr>
        <w:t>00</w:t>
      </w:r>
      <w:r w:rsidR="008D182F" w:rsidRPr="00B46926">
        <w:rPr>
          <w:rFonts w:ascii="標楷體" w:eastAsia="標楷體" w:hAnsi="標楷體" w:hint="eastAsia"/>
          <w:sz w:val="27"/>
          <w:szCs w:val="27"/>
        </w:rPr>
        <w:t>~</w:t>
      </w:r>
      <w:r w:rsidR="00B46926" w:rsidRPr="00B46926">
        <w:rPr>
          <w:rFonts w:ascii="標楷體" w:eastAsia="標楷體" w:hAnsi="標楷體" w:hint="eastAsia"/>
          <w:sz w:val="27"/>
          <w:szCs w:val="27"/>
        </w:rPr>
        <w:t>3</w:t>
      </w:r>
      <w:r w:rsidR="00B46926" w:rsidRPr="00B46926">
        <w:rPr>
          <w:rFonts w:ascii="標楷體" w:eastAsia="標楷體" w:hAnsi="標楷體"/>
          <w:sz w:val="27"/>
          <w:szCs w:val="27"/>
        </w:rPr>
        <w:t>2</w:t>
      </w:r>
      <w:r w:rsidR="008D182F" w:rsidRPr="00B46926">
        <w:rPr>
          <w:rFonts w:ascii="標楷體" w:eastAsia="標楷體" w:hAnsi="標楷體" w:hint="eastAsia"/>
          <w:sz w:val="27"/>
          <w:szCs w:val="27"/>
        </w:rPr>
        <w:t>.</w:t>
      </w:r>
      <w:r w:rsidR="00B46926" w:rsidRPr="00B46926">
        <w:rPr>
          <w:rFonts w:ascii="標楷體" w:eastAsia="標楷體" w:hAnsi="標楷體"/>
          <w:sz w:val="27"/>
          <w:szCs w:val="27"/>
        </w:rPr>
        <w:t>50</w:t>
      </w:r>
      <w:r w:rsidR="008D182F" w:rsidRPr="00B46926">
        <w:rPr>
          <w:rFonts w:ascii="標楷體" w:eastAsia="標楷體" w:hAnsi="標楷體" w:hint="eastAsia"/>
          <w:sz w:val="27"/>
          <w:szCs w:val="27"/>
        </w:rPr>
        <w:t>之間。</w:t>
      </w:r>
    </w:p>
    <w:p w:rsidR="00FE7880" w:rsidRPr="00B46926" w:rsidRDefault="00FE7880" w:rsidP="005A3AD3">
      <w:pPr>
        <w:pStyle w:val="Default"/>
        <w:spacing w:line="380" w:lineRule="exact"/>
        <w:jc w:val="both"/>
        <w:rPr>
          <w:rFonts w:ascii="標楷體" w:eastAsia="標楷體" w:hAnsi="標楷體"/>
          <w:color w:val="auto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973.3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941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8/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663.0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884.3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53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D7A1E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19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995.1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220DAB" w:rsidRDefault="00220DAB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D10F2C" w:rsidP="00DB5FF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1F8C"/>
    <w:rsid w:val="00022502"/>
    <w:rsid w:val="00027912"/>
    <w:rsid w:val="00027D6A"/>
    <w:rsid w:val="00031E25"/>
    <w:rsid w:val="0004114F"/>
    <w:rsid w:val="000454C6"/>
    <w:rsid w:val="000523CD"/>
    <w:rsid w:val="0005491F"/>
    <w:rsid w:val="00055DC8"/>
    <w:rsid w:val="000604F3"/>
    <w:rsid w:val="00072822"/>
    <w:rsid w:val="00080B57"/>
    <w:rsid w:val="0008213E"/>
    <w:rsid w:val="00085065"/>
    <w:rsid w:val="00087F50"/>
    <w:rsid w:val="000925B7"/>
    <w:rsid w:val="00095E4C"/>
    <w:rsid w:val="000970B1"/>
    <w:rsid w:val="000B3E15"/>
    <w:rsid w:val="000B43DB"/>
    <w:rsid w:val="000B6276"/>
    <w:rsid w:val="000D29B5"/>
    <w:rsid w:val="000D44D2"/>
    <w:rsid w:val="0010159E"/>
    <w:rsid w:val="0010612A"/>
    <w:rsid w:val="00111669"/>
    <w:rsid w:val="00113375"/>
    <w:rsid w:val="00115072"/>
    <w:rsid w:val="00144D36"/>
    <w:rsid w:val="0016144F"/>
    <w:rsid w:val="00165020"/>
    <w:rsid w:val="001672E1"/>
    <w:rsid w:val="00172A60"/>
    <w:rsid w:val="00172DFD"/>
    <w:rsid w:val="001747BA"/>
    <w:rsid w:val="00180CF3"/>
    <w:rsid w:val="00186C73"/>
    <w:rsid w:val="0019528A"/>
    <w:rsid w:val="001B1A1C"/>
    <w:rsid w:val="001B2468"/>
    <w:rsid w:val="001C7FE0"/>
    <w:rsid w:val="001E43CA"/>
    <w:rsid w:val="001F7795"/>
    <w:rsid w:val="002019D3"/>
    <w:rsid w:val="00203440"/>
    <w:rsid w:val="00214841"/>
    <w:rsid w:val="002171E2"/>
    <w:rsid w:val="00220DAB"/>
    <w:rsid w:val="00223FB1"/>
    <w:rsid w:val="00225018"/>
    <w:rsid w:val="00225E00"/>
    <w:rsid w:val="0023664E"/>
    <w:rsid w:val="00244816"/>
    <w:rsid w:val="0024694C"/>
    <w:rsid w:val="00246D24"/>
    <w:rsid w:val="002846B6"/>
    <w:rsid w:val="0029064A"/>
    <w:rsid w:val="00294FD5"/>
    <w:rsid w:val="002A7CEE"/>
    <w:rsid w:val="002B421A"/>
    <w:rsid w:val="002B45F0"/>
    <w:rsid w:val="002B652A"/>
    <w:rsid w:val="002B7500"/>
    <w:rsid w:val="002C1C8E"/>
    <w:rsid w:val="002C3FC4"/>
    <w:rsid w:val="002D38B8"/>
    <w:rsid w:val="002E5F04"/>
    <w:rsid w:val="002E72E1"/>
    <w:rsid w:val="002F11E0"/>
    <w:rsid w:val="002F1575"/>
    <w:rsid w:val="002F36AA"/>
    <w:rsid w:val="002F7A88"/>
    <w:rsid w:val="00304034"/>
    <w:rsid w:val="003123B4"/>
    <w:rsid w:val="003169C4"/>
    <w:rsid w:val="00320C96"/>
    <w:rsid w:val="00324236"/>
    <w:rsid w:val="003268A7"/>
    <w:rsid w:val="00351139"/>
    <w:rsid w:val="00360F2D"/>
    <w:rsid w:val="00362B06"/>
    <w:rsid w:val="003828C0"/>
    <w:rsid w:val="0039190F"/>
    <w:rsid w:val="0039218E"/>
    <w:rsid w:val="00395522"/>
    <w:rsid w:val="003B6C84"/>
    <w:rsid w:val="003D5505"/>
    <w:rsid w:val="003E4C46"/>
    <w:rsid w:val="003E6DD6"/>
    <w:rsid w:val="004235C6"/>
    <w:rsid w:val="004258BD"/>
    <w:rsid w:val="00427AC1"/>
    <w:rsid w:val="00437E98"/>
    <w:rsid w:val="004428A9"/>
    <w:rsid w:val="00443453"/>
    <w:rsid w:val="004531B0"/>
    <w:rsid w:val="004562E2"/>
    <w:rsid w:val="004618BF"/>
    <w:rsid w:val="00464895"/>
    <w:rsid w:val="00491A10"/>
    <w:rsid w:val="004966F4"/>
    <w:rsid w:val="00497916"/>
    <w:rsid w:val="004A1E65"/>
    <w:rsid w:val="004C220B"/>
    <w:rsid w:val="004C43B4"/>
    <w:rsid w:val="004C6F0D"/>
    <w:rsid w:val="004D0357"/>
    <w:rsid w:val="004D472D"/>
    <w:rsid w:val="004D6B5C"/>
    <w:rsid w:val="004E0061"/>
    <w:rsid w:val="004E328A"/>
    <w:rsid w:val="004F5F20"/>
    <w:rsid w:val="005014BD"/>
    <w:rsid w:val="00502FF8"/>
    <w:rsid w:val="0050488E"/>
    <w:rsid w:val="00513277"/>
    <w:rsid w:val="00523700"/>
    <w:rsid w:val="00530DBB"/>
    <w:rsid w:val="00537A9C"/>
    <w:rsid w:val="005556EF"/>
    <w:rsid w:val="00570201"/>
    <w:rsid w:val="0057600B"/>
    <w:rsid w:val="00584968"/>
    <w:rsid w:val="00590EC4"/>
    <w:rsid w:val="005955E1"/>
    <w:rsid w:val="005A3AD3"/>
    <w:rsid w:val="005B406D"/>
    <w:rsid w:val="005D21AE"/>
    <w:rsid w:val="005E229D"/>
    <w:rsid w:val="005E4179"/>
    <w:rsid w:val="00605502"/>
    <w:rsid w:val="0061131D"/>
    <w:rsid w:val="00621432"/>
    <w:rsid w:val="00623193"/>
    <w:rsid w:val="00634BB7"/>
    <w:rsid w:val="00662F01"/>
    <w:rsid w:val="006773AA"/>
    <w:rsid w:val="00680FAD"/>
    <w:rsid w:val="0069032C"/>
    <w:rsid w:val="00691B66"/>
    <w:rsid w:val="006922AC"/>
    <w:rsid w:val="00697545"/>
    <w:rsid w:val="00697B52"/>
    <w:rsid w:val="006A0C31"/>
    <w:rsid w:val="006A0ED1"/>
    <w:rsid w:val="006A7CD0"/>
    <w:rsid w:val="006D340D"/>
    <w:rsid w:val="006D4632"/>
    <w:rsid w:val="006D7163"/>
    <w:rsid w:val="006E3B80"/>
    <w:rsid w:val="006E7C3B"/>
    <w:rsid w:val="006F297A"/>
    <w:rsid w:val="006F6FB8"/>
    <w:rsid w:val="0070680A"/>
    <w:rsid w:val="00713EBC"/>
    <w:rsid w:val="00714249"/>
    <w:rsid w:val="0071610D"/>
    <w:rsid w:val="00736373"/>
    <w:rsid w:val="00754AC6"/>
    <w:rsid w:val="00763B18"/>
    <w:rsid w:val="0077123A"/>
    <w:rsid w:val="00784442"/>
    <w:rsid w:val="00790ABE"/>
    <w:rsid w:val="007A3083"/>
    <w:rsid w:val="007B63C7"/>
    <w:rsid w:val="007B7A19"/>
    <w:rsid w:val="007C7D07"/>
    <w:rsid w:val="007D3A1B"/>
    <w:rsid w:val="007D451F"/>
    <w:rsid w:val="007E6E61"/>
    <w:rsid w:val="007F5399"/>
    <w:rsid w:val="0080056C"/>
    <w:rsid w:val="0080068A"/>
    <w:rsid w:val="008025F5"/>
    <w:rsid w:val="00803816"/>
    <w:rsid w:val="00813C15"/>
    <w:rsid w:val="00814F7A"/>
    <w:rsid w:val="00821242"/>
    <w:rsid w:val="00823E17"/>
    <w:rsid w:val="00824858"/>
    <w:rsid w:val="0083175E"/>
    <w:rsid w:val="00835465"/>
    <w:rsid w:val="00840006"/>
    <w:rsid w:val="0084404D"/>
    <w:rsid w:val="00844EE1"/>
    <w:rsid w:val="0084560B"/>
    <w:rsid w:val="00850EF5"/>
    <w:rsid w:val="00852249"/>
    <w:rsid w:val="00857C19"/>
    <w:rsid w:val="008678DE"/>
    <w:rsid w:val="008704B8"/>
    <w:rsid w:val="00873997"/>
    <w:rsid w:val="008A4B42"/>
    <w:rsid w:val="008C337B"/>
    <w:rsid w:val="008D182F"/>
    <w:rsid w:val="008D1D02"/>
    <w:rsid w:val="008D6188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75B3"/>
    <w:rsid w:val="009225D0"/>
    <w:rsid w:val="009476D1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E52"/>
    <w:rsid w:val="009F39C1"/>
    <w:rsid w:val="00A02FA4"/>
    <w:rsid w:val="00A07C7F"/>
    <w:rsid w:val="00A11125"/>
    <w:rsid w:val="00A12757"/>
    <w:rsid w:val="00A20B56"/>
    <w:rsid w:val="00A27524"/>
    <w:rsid w:val="00A3030D"/>
    <w:rsid w:val="00A339F1"/>
    <w:rsid w:val="00A51F27"/>
    <w:rsid w:val="00A80CE9"/>
    <w:rsid w:val="00AA5A2E"/>
    <w:rsid w:val="00AD1036"/>
    <w:rsid w:val="00AD5954"/>
    <w:rsid w:val="00AD7A1E"/>
    <w:rsid w:val="00AF7471"/>
    <w:rsid w:val="00B00A22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5F4D"/>
    <w:rsid w:val="00B6605F"/>
    <w:rsid w:val="00B75A8E"/>
    <w:rsid w:val="00B777E9"/>
    <w:rsid w:val="00B86642"/>
    <w:rsid w:val="00B91325"/>
    <w:rsid w:val="00B928C4"/>
    <w:rsid w:val="00BA4145"/>
    <w:rsid w:val="00BA4DDA"/>
    <w:rsid w:val="00BC20D8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6020"/>
    <w:rsid w:val="00C26C85"/>
    <w:rsid w:val="00C27413"/>
    <w:rsid w:val="00C3630D"/>
    <w:rsid w:val="00C517B4"/>
    <w:rsid w:val="00C64B04"/>
    <w:rsid w:val="00C66573"/>
    <w:rsid w:val="00C70C42"/>
    <w:rsid w:val="00C74FA1"/>
    <w:rsid w:val="00C80CCC"/>
    <w:rsid w:val="00C81C41"/>
    <w:rsid w:val="00C8306E"/>
    <w:rsid w:val="00C92E5B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21356"/>
    <w:rsid w:val="00D2257C"/>
    <w:rsid w:val="00D301DA"/>
    <w:rsid w:val="00D314CD"/>
    <w:rsid w:val="00D345B1"/>
    <w:rsid w:val="00D43D3C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2C8"/>
    <w:rsid w:val="00E34036"/>
    <w:rsid w:val="00E35AD8"/>
    <w:rsid w:val="00E35DA1"/>
    <w:rsid w:val="00E37F11"/>
    <w:rsid w:val="00E4674D"/>
    <w:rsid w:val="00E60B12"/>
    <w:rsid w:val="00E91496"/>
    <w:rsid w:val="00EA2A5E"/>
    <w:rsid w:val="00EA2E1A"/>
    <w:rsid w:val="00EA405E"/>
    <w:rsid w:val="00EA4772"/>
    <w:rsid w:val="00EB127A"/>
    <w:rsid w:val="00EB5F9E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65B45"/>
    <w:rsid w:val="00F77E97"/>
    <w:rsid w:val="00F87C0F"/>
    <w:rsid w:val="00FA1D65"/>
    <w:rsid w:val="00FB5A8B"/>
    <w:rsid w:val="00FC15B9"/>
    <w:rsid w:val="00FC6801"/>
    <w:rsid w:val="00FD14B0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C640-A210-4693-ADDB-67209F10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139</Words>
  <Characters>796</Characters>
  <Application>Microsoft Office Word</Application>
  <DocSecurity>0</DocSecurity>
  <Lines>6</Lines>
  <Paragraphs>1</Paragraphs>
  <ScaleCrop>false</ScaleCrop>
  <Company>大中票券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150</cp:revision>
  <cp:lastPrinted>2015-08-07T07:22:00Z</cp:lastPrinted>
  <dcterms:created xsi:type="dcterms:W3CDTF">2015-08-12T00:42:00Z</dcterms:created>
  <dcterms:modified xsi:type="dcterms:W3CDTF">2015-08-17T00:55:00Z</dcterms:modified>
</cp:coreProperties>
</file>