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86" w:rsidRPr="003B0D81" w:rsidRDefault="00204F86" w:rsidP="00204F86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735750">
        <w:rPr>
          <w:rFonts w:ascii="標楷體" w:eastAsia="標楷體" w:hAnsi="標楷體" w:hint="eastAsia"/>
          <w:b/>
          <w:sz w:val="28"/>
          <w:szCs w:val="28"/>
        </w:rPr>
        <w:t xml:space="preserve">  2015/5/4</w:t>
      </w:r>
    </w:p>
    <w:p w:rsidR="00EE0FEF" w:rsidRPr="00EE0FEF" w:rsidRDefault="00EE0FEF" w:rsidP="001F6120">
      <w:pPr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                                 </w:t>
      </w:r>
      <w:r w:rsidRPr="00EE0FEF">
        <w:rPr>
          <w:rFonts w:ascii="標楷體" w:eastAsia="標楷體" w:hAnsi="標楷體"/>
          <w:sz w:val="26"/>
          <w:szCs w:val="26"/>
        </w:rPr>
        <w:t>B</w:t>
      </w:r>
      <w:r w:rsidRPr="00EE0FEF">
        <w:rPr>
          <w:rFonts w:ascii="標楷體" w:eastAsia="標楷體" w:hAnsi="標楷體" w:hint="eastAsia"/>
          <w:sz w:val="26"/>
          <w:szCs w:val="26"/>
        </w:rPr>
        <w:t xml:space="preserve">y </w:t>
      </w:r>
      <w:r>
        <w:rPr>
          <w:rFonts w:ascii="標楷體" w:eastAsia="標楷體" w:hAnsi="標楷體" w:hint="eastAsia"/>
          <w:sz w:val="26"/>
          <w:szCs w:val="26"/>
        </w:rPr>
        <w:t>P</w:t>
      </w:r>
      <w:r w:rsidRPr="00EE0FEF">
        <w:rPr>
          <w:rFonts w:ascii="標楷體" w:eastAsia="標楷體" w:hAnsi="標楷體" w:hint="eastAsia"/>
          <w:sz w:val="26"/>
          <w:szCs w:val="26"/>
        </w:rPr>
        <w:t>eter</w:t>
      </w:r>
    </w:p>
    <w:p w:rsidR="001F6120" w:rsidRDefault="001F6120" w:rsidP="001F6120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市場回顧</w:t>
      </w:r>
    </w:p>
    <w:p w:rsidR="003E5E79" w:rsidRDefault="002464F1" w:rsidP="00DC1096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 w:rsidRPr="002464F1">
        <w:rPr>
          <w:rFonts w:ascii="標楷體" w:eastAsia="標楷體" w:hAnsi="標楷體" w:cs="Arial" w:hint="eastAsia"/>
          <w:color w:val="000000"/>
          <w:kern w:val="0"/>
          <w:szCs w:val="24"/>
        </w:rPr>
        <w:t>美債</w:t>
      </w:r>
      <w:r w:rsidR="003E5E79">
        <w:rPr>
          <w:rFonts w:ascii="標楷體" w:eastAsia="標楷體" w:hAnsi="標楷體" w:cs="Arial" w:hint="eastAsia"/>
          <w:color w:val="000000"/>
          <w:kern w:val="0"/>
          <w:szCs w:val="24"/>
        </w:rPr>
        <w:t>10y</w:t>
      </w:r>
      <w:r w:rsidR="00EE0FEF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過去二</w:t>
      </w:r>
      <w:proofErr w:type="gramStart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B9027B">
        <w:rPr>
          <w:rFonts w:ascii="標楷體" w:eastAsia="標楷體" w:hAnsi="標楷體" w:cs="Arial" w:hint="eastAsia"/>
          <w:color w:val="000000"/>
          <w:kern w:val="0"/>
          <w:szCs w:val="24"/>
        </w:rPr>
        <w:t>以來，</w:t>
      </w:r>
      <w:r w:rsidR="00BA1DA9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呈現緩步走揚的格局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期間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有部分因為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新</w:t>
      </w:r>
      <w:proofErr w:type="gramStart"/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債標售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令</w:t>
      </w:r>
      <w:proofErr w:type="gramEnd"/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利率小幅上漲，但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FOMC的會後聲明，其實偏向鴿派，且近期的經濟數據也未如預期，而美債利率依然上漲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研判應該是歐洲局勢好轉，避險需求降低</w:t>
      </w:r>
      <w:r w:rsidR="004C0DF3">
        <w:rPr>
          <w:rFonts w:ascii="標楷體" w:eastAsia="標楷體" w:hAnsi="標楷體" w:cs="Arial" w:hint="eastAsia"/>
          <w:color w:val="000000"/>
          <w:kern w:val="0"/>
          <w:szCs w:val="24"/>
        </w:rPr>
        <w:t>，導致美、日歐的主要國家利率上漲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為主要原因。</w:t>
      </w:r>
      <w:r w:rsidR="002C006E">
        <w:rPr>
          <w:rFonts w:ascii="標楷體" w:eastAsia="標楷體" w:hAnsi="標楷體" w:cs="Arial" w:hint="eastAsia"/>
          <w:color w:val="000000"/>
          <w:kern w:val="0"/>
          <w:szCs w:val="24"/>
        </w:rPr>
        <w:t>美債10y利率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回到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2.0%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上</w:t>
      </w:r>
      <w:r w:rsidR="00DC1096">
        <w:rPr>
          <w:rFonts w:ascii="標楷體" w:eastAsia="標楷體" w:hAnsi="標楷體" w:cs="Arial" w:hint="eastAsia"/>
          <w:color w:val="000000"/>
          <w:kern w:val="0"/>
          <w:szCs w:val="24"/>
        </w:rPr>
        <w:t>方</w:t>
      </w:r>
      <w:r w:rsidR="0081209B">
        <w:rPr>
          <w:rFonts w:ascii="標楷體" w:eastAsia="標楷體" w:hAnsi="標楷體" w:cs="Arial" w:hint="eastAsia"/>
          <w:color w:val="000000"/>
          <w:kern w:val="0"/>
          <w:szCs w:val="24"/>
        </w:rPr>
        <w:t>，上週五美債10y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收盤在</w:t>
      </w:r>
      <w:r w:rsidR="002D7EFA">
        <w:rPr>
          <w:rFonts w:ascii="標楷體" w:eastAsia="標楷體" w:hAnsi="標楷體" w:cs="Arial" w:hint="eastAsia"/>
          <w:color w:val="000000"/>
          <w:kern w:val="0"/>
          <w:szCs w:val="24"/>
        </w:rPr>
        <w:t>2.115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D3740E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257AC" w:rsidRDefault="00D3740E" w:rsidP="002464F1">
      <w:pPr>
        <w:widowControl/>
        <w:ind w:firstLineChars="200" w:firstLine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台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債</w:t>
      </w:r>
      <w:r w:rsidR="00EB1D7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因金</w:t>
      </w:r>
      <w:proofErr w:type="gramEnd"/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管會限制外資購買公司債及公債等資金不得超過匯入金額的30%，影響短</w:t>
      </w:r>
      <w:proofErr w:type="gramStart"/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需求，讓</w:t>
      </w:r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5年</w:t>
      </w:r>
      <w:proofErr w:type="gramStart"/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利率回到1.0%上方，但在特定價位有郵局買盤支撐</w:t>
      </w:r>
      <w:r w:rsidR="000B3EE6">
        <w:rPr>
          <w:rFonts w:ascii="標楷體" w:eastAsia="標楷體" w:hAnsi="標楷體" w:cs="Arial" w:hint="eastAsia"/>
          <w:color w:val="000000"/>
          <w:kern w:val="0"/>
          <w:szCs w:val="24"/>
        </w:rPr>
        <w:t>下</w:t>
      </w:r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B20152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FF032C">
        <w:rPr>
          <w:rFonts w:ascii="標楷體" w:eastAsia="標楷體" w:hAnsi="標楷體" w:cs="Arial" w:hint="eastAsia"/>
          <w:color w:val="000000"/>
          <w:kern w:val="0"/>
          <w:szCs w:val="24"/>
        </w:rPr>
        <w:t>走勢轉為橫盤整理。且景氣燈號轉為黃藍燈，</w:t>
      </w:r>
      <w:r w:rsidR="000B3EE6">
        <w:rPr>
          <w:rFonts w:ascii="標楷體" w:eastAsia="標楷體" w:hAnsi="標楷體" w:cs="Arial" w:hint="eastAsia"/>
          <w:color w:val="000000"/>
          <w:kern w:val="0"/>
          <w:szCs w:val="24"/>
        </w:rPr>
        <w:t>領先指標及同時指標下跌，台債利率即便在美債利率走升之際，仍缺乏上漲動能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上週收盤時，</w:t>
      </w:r>
      <w:r w:rsidR="0093014D">
        <w:rPr>
          <w:rFonts w:ascii="標楷體" w:eastAsia="標楷體" w:hAnsi="標楷體" w:cs="Arial" w:hint="eastAsia"/>
          <w:color w:val="000000"/>
          <w:kern w:val="0"/>
          <w:szCs w:val="24"/>
        </w:rPr>
        <w:t>5y</w:t>
      </w:r>
      <w:r w:rsidR="00A471A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3F41F7">
        <w:rPr>
          <w:rFonts w:ascii="標楷體" w:eastAsia="標楷體" w:hAnsi="標楷體" w:cs="Arial" w:hint="eastAsia"/>
          <w:color w:val="000000"/>
          <w:kern w:val="0"/>
          <w:szCs w:val="24"/>
        </w:rPr>
        <w:t>收在</w:t>
      </w:r>
      <w:r w:rsidR="000B3EE6">
        <w:rPr>
          <w:rFonts w:ascii="標楷體" w:eastAsia="標楷體" w:hAnsi="標楷體" w:cs="Arial" w:hint="eastAsia"/>
          <w:color w:val="000000"/>
          <w:kern w:val="0"/>
          <w:szCs w:val="24"/>
        </w:rPr>
        <w:t>1.014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%</w:t>
      </w:r>
      <w:r w:rsidR="009F54EB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10年</w:t>
      </w:r>
      <w:proofErr w:type="gramStart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F110CE">
        <w:rPr>
          <w:rFonts w:ascii="標楷體" w:eastAsia="標楷體" w:hAnsi="標楷體" w:cs="Arial" w:hint="eastAsia"/>
          <w:color w:val="000000"/>
          <w:kern w:val="0"/>
          <w:szCs w:val="24"/>
        </w:rPr>
        <w:t>利率</w:t>
      </w:r>
      <w:r w:rsidR="00164E04">
        <w:rPr>
          <w:rFonts w:ascii="標楷體" w:eastAsia="標楷體" w:hAnsi="標楷體" w:cs="Arial" w:hint="eastAsia"/>
          <w:color w:val="000000"/>
          <w:kern w:val="0"/>
          <w:szCs w:val="24"/>
        </w:rPr>
        <w:t>則</w:t>
      </w:r>
      <w:r w:rsidR="00B45F79">
        <w:rPr>
          <w:rFonts w:ascii="標楷體" w:eastAsia="標楷體" w:hAnsi="標楷體" w:cs="Arial" w:hint="eastAsia"/>
          <w:color w:val="000000"/>
          <w:kern w:val="0"/>
          <w:szCs w:val="24"/>
        </w:rPr>
        <w:t>收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在</w:t>
      </w:r>
      <w:r w:rsidR="000B3EE6">
        <w:rPr>
          <w:rFonts w:ascii="標楷體" w:eastAsia="標楷體" w:hAnsi="標楷體" w:cs="Arial" w:hint="eastAsia"/>
          <w:color w:val="000000"/>
          <w:kern w:val="0"/>
          <w:szCs w:val="24"/>
        </w:rPr>
        <w:t>1.575</w:t>
      </w:r>
      <w:r w:rsidR="00685587">
        <w:rPr>
          <w:rFonts w:ascii="標楷體" w:eastAsia="標楷體" w:hAnsi="標楷體" w:cs="Arial" w:hint="eastAsia"/>
          <w:color w:val="000000"/>
          <w:kern w:val="0"/>
          <w:szCs w:val="24"/>
        </w:rPr>
        <w:t>%。</w:t>
      </w:r>
    </w:p>
    <w:p w:rsidR="00514A99" w:rsidRDefault="00514A99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790F40" w:rsidRDefault="00790F40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美國</w:t>
      </w:r>
      <w:r w:rsidRPr="00790F40">
        <w:rPr>
          <w:rFonts w:ascii="標楷體" w:eastAsia="標楷體" w:hAnsi="標楷體" w:hint="eastAsia"/>
          <w:szCs w:val="24"/>
        </w:rPr>
        <w:t>供應管理協會</w:t>
      </w:r>
      <w:r>
        <w:rPr>
          <w:rFonts w:ascii="標楷體" w:eastAsia="標楷體" w:hAnsi="標楷體" w:hint="eastAsia"/>
          <w:szCs w:val="24"/>
        </w:rPr>
        <w:t>ISM</w:t>
      </w:r>
      <w:r w:rsidRPr="00790F40">
        <w:rPr>
          <w:rFonts w:ascii="標楷體" w:eastAsia="標楷體" w:hAnsi="標楷體" w:hint="eastAsia"/>
          <w:szCs w:val="24"/>
        </w:rPr>
        <w:t>公布，4月製造業指數持平於51.5%。</w:t>
      </w:r>
    </w:p>
    <w:p w:rsidR="00790F40" w:rsidRDefault="00790F40" w:rsidP="00F00997">
      <w:pPr>
        <w:widowControl/>
        <w:rPr>
          <w:rFonts w:ascii="標楷體" w:eastAsia="標楷體" w:hAnsi="標楷體"/>
          <w:szCs w:val="24"/>
        </w:rPr>
      </w:pPr>
      <w:r w:rsidRPr="00790F40">
        <w:rPr>
          <w:rFonts w:ascii="標楷體" w:eastAsia="標楷體" w:hAnsi="標楷體" w:hint="eastAsia"/>
          <w:szCs w:val="24"/>
        </w:rPr>
        <w:t>4月中國官方製造業PMI持平於50.1，連兩月高於榮枯</w:t>
      </w:r>
      <w:r>
        <w:rPr>
          <w:rFonts w:ascii="標楷體" w:eastAsia="標楷體" w:hAnsi="標楷體" w:hint="eastAsia"/>
          <w:szCs w:val="24"/>
        </w:rPr>
        <w:t>，</w:t>
      </w:r>
      <w:r w:rsidRPr="00790F40">
        <w:rPr>
          <w:rFonts w:ascii="標楷體" w:eastAsia="標楷體" w:hAnsi="標楷體" w:hint="eastAsia"/>
          <w:szCs w:val="24"/>
        </w:rPr>
        <w:t>需求不足致製造業下行壓力依然存在</w:t>
      </w:r>
      <w:r>
        <w:rPr>
          <w:rFonts w:ascii="標楷體" w:eastAsia="標楷體" w:hAnsi="標楷體" w:hint="eastAsia"/>
          <w:szCs w:val="24"/>
        </w:rPr>
        <w:t>。</w:t>
      </w:r>
    </w:p>
    <w:p w:rsidR="006A7D3C" w:rsidRDefault="00B32F9F" w:rsidP="00F0099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~報摘</w:t>
      </w:r>
    </w:p>
    <w:p w:rsidR="009D2AEE" w:rsidRDefault="009D2AEE" w:rsidP="00115520">
      <w:pPr>
        <w:widowControl/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3E13F0" w:rsidRDefault="0041787D" w:rsidP="00DC0632">
      <w:pPr>
        <w:widowControl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歐債十年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3E13F0" w:rsidRPr="00A073E1" w:rsidRDefault="003208C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800475"/>
            <wp:effectExtent l="0" t="0" r="0" b="0"/>
            <wp:docPr id="1" name="圖片 1" descr="C:\Users\bloomberg\AppData\Local\Temp\Bloomberg\Temp\bfm9B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9BB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80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美債十年期利率走勢圖</w:t>
      </w:r>
    </w:p>
    <w:p w:rsidR="003E13F0" w:rsidRPr="00B40DE8" w:rsidRDefault="003208C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2" name="圖片 2" descr="C:\Users\bloomberg\AppData\Local\Temp\Bloomberg\Temp\bfmA2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A2F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87D" w:rsidRDefault="0041787D" w:rsidP="0041787D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日債十年期利率走勢圖</w:t>
      </w:r>
    </w:p>
    <w:p w:rsidR="003E13F0" w:rsidRDefault="003208C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3" name="圖片 3" descr="C:\Users\bloomberg\AppData\Local\Temp\Bloomberg\Temp\bfm2A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2A2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Pr="0041787D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lastRenderedPageBreak/>
        <w:t>台債十年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期利率走勢圖</w:t>
      </w:r>
    </w:p>
    <w:p w:rsidR="00DF32B2" w:rsidRDefault="003208C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4" name="圖片 4" descr="C:\Users\bloomberg\AppData\Local\Temp\Bloomberg\Temp\bfmBB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BBAB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791E70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各國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殖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利率走勢圖</w:t>
      </w:r>
    </w:p>
    <w:p w:rsidR="003E13F0" w:rsidRDefault="003208C7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5" name="圖片 5" descr="C:\Users\bloomberg\AppData\Local\Temp\Bloomberg\Temp\bfm65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65E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F0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經濟數據圖</w:t>
      </w:r>
    </w:p>
    <w:p w:rsidR="0041787D" w:rsidRPr="00985EF5" w:rsidRDefault="005962C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proofErr w:type="gramStart"/>
      <w:r w:rsidRPr="005962C4">
        <w:rPr>
          <w:rFonts w:ascii="標楷體" w:eastAsia="標楷體" w:hAnsi="標楷體" w:hint="eastAsia"/>
          <w:b/>
          <w:sz w:val="26"/>
          <w:szCs w:val="26"/>
        </w:rPr>
        <w:t>匯</w:t>
      </w:r>
      <w:proofErr w:type="gramEnd"/>
      <w:r w:rsidRPr="005962C4">
        <w:rPr>
          <w:rFonts w:ascii="標楷體" w:eastAsia="標楷體" w:hAnsi="標楷體" w:hint="eastAsia"/>
          <w:b/>
          <w:sz w:val="26"/>
          <w:szCs w:val="26"/>
        </w:rPr>
        <w:t>豐中國製造業採購經理人指數(未經季調)</w:t>
      </w:r>
    </w:p>
    <w:p w:rsidR="003E13F0" w:rsidRDefault="005962C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6" name="圖片 6" descr="C:\Users\bloomberg\AppData\Local\Temp\Bloomberg\Temp\bfmE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E3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51" w:rsidRDefault="00075C5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5C50">
        <w:rPr>
          <w:rFonts w:ascii="標楷體" w:eastAsia="標楷體" w:hAnsi="標楷體" w:hint="eastAsia"/>
          <w:b/>
          <w:sz w:val="26"/>
          <w:szCs w:val="26"/>
        </w:rPr>
        <w:t>台灣商業銷售(年比)</w:t>
      </w:r>
    </w:p>
    <w:p w:rsidR="001F2D16" w:rsidRDefault="005962C4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0338" cy="3790950"/>
            <wp:effectExtent l="0" t="0" r="0" b="0"/>
            <wp:docPr id="7" name="圖片 7" descr="C:\Users\bloomberg\AppData\Local\Temp\Bloomberg\Temp\bfmD8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D84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79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BC5" w:rsidRDefault="00075C5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5C50"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美國新屋銷售單戶住宅 </w:t>
      </w:r>
      <w:proofErr w:type="gramStart"/>
      <w:r w:rsidRPr="00075C50">
        <w:rPr>
          <w:rFonts w:ascii="標楷體" w:eastAsia="標楷體" w:hAnsi="標楷體" w:hint="eastAsia"/>
          <w:b/>
          <w:sz w:val="26"/>
          <w:szCs w:val="26"/>
        </w:rPr>
        <w:t>經季調</w:t>
      </w:r>
      <w:proofErr w:type="gramEnd"/>
    </w:p>
    <w:p w:rsidR="002D4BC5" w:rsidRDefault="00075C5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8" name="圖片 8" descr="C:\Users\bloomberg\AppData\Local\Temp\Bloomberg\Temp\bfm8F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8FEF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E3" w:rsidRDefault="00075C5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75C50">
        <w:rPr>
          <w:rFonts w:ascii="標楷體" w:eastAsia="標楷體" w:hAnsi="標楷體" w:hint="eastAsia"/>
          <w:b/>
          <w:sz w:val="26"/>
          <w:szCs w:val="26"/>
        </w:rPr>
        <w:t>台灣實質GDP(年比) 2006=100</w:t>
      </w:r>
    </w:p>
    <w:p w:rsidR="00C92881" w:rsidRDefault="00075C50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0"/>
            <wp:docPr id="9" name="圖片 9" descr="C:\Users\bloomberg\AppData\Local\Temp\Bloomberg\Temp\bfm56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567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AF" w:rsidRDefault="0041787D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經濟數據預估</w:t>
      </w:r>
    </w:p>
    <w:bookmarkStart w:id="0" w:name="_GoBack"/>
    <w:p w:rsidR="00794EE3" w:rsidRPr="00194E99" w:rsidRDefault="00915FCF" w:rsidP="00404D41">
      <w:pPr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object w:dxaOrig="9999" w:dyaOrig="1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2pt;height:562.5pt" o:ole="">
            <v:imagedata r:id="rId18" o:title=""/>
          </v:shape>
          <o:OLEObject Type="Embed" ProgID="Excel.Sheet.12" ShapeID="_x0000_i1043" DrawAspect="Content" ObjectID="_1492253137" r:id="rId19"/>
        </w:object>
      </w:r>
      <w:bookmarkEnd w:id="0"/>
    </w:p>
    <w:p w:rsidR="00FA0F4F" w:rsidRDefault="00DE1419" w:rsidP="00FA0F4F">
      <w:pPr>
        <w:widowControl/>
        <w:rPr>
          <w:rFonts w:ascii="標楷體" w:eastAsia="標楷體" w:hAnsi="標楷體"/>
          <w:b/>
          <w:sz w:val="26"/>
          <w:szCs w:val="26"/>
        </w:rPr>
      </w:pPr>
      <w:r w:rsidRPr="00E747DE">
        <w:rPr>
          <w:rFonts w:ascii="標楷體" w:eastAsia="標楷體" w:hAnsi="標楷體" w:hint="eastAsia"/>
          <w:b/>
          <w:sz w:val="26"/>
          <w:szCs w:val="26"/>
        </w:rPr>
        <w:t>市場展望</w:t>
      </w:r>
    </w:p>
    <w:p w:rsidR="003F35FA" w:rsidRDefault="000053D6" w:rsidP="00600F5C">
      <w:pPr>
        <w:widowControl/>
        <w:ind w:leftChars="50" w:left="120" w:firstLineChars="150" w:firstLine="36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近期</w:t>
      </w:r>
      <w:r w:rsidR="00F65C83">
        <w:rPr>
          <w:rFonts w:ascii="標楷體" w:eastAsia="標楷體" w:hAnsi="標楷體" w:cs="Arial" w:hint="eastAsia"/>
          <w:color w:val="000000"/>
          <w:kern w:val="0"/>
          <w:szCs w:val="24"/>
        </w:rPr>
        <w:t>利率走勢，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從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技術面來看</w:t>
      </w:r>
      <w:r w:rsidR="00882267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美債10年期利率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季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由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走平</w:t>
      </w:r>
      <w:proofErr w:type="gramEnd"/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轉向上揚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近期經濟數據不如預期但是利率卻上揚的情況，</w:t>
      </w:r>
      <w:proofErr w:type="gramStart"/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對季線</w:t>
      </w:r>
      <w:proofErr w:type="gramEnd"/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的走勢有進一步的印證。</w:t>
      </w:r>
      <w:r w:rsidR="007C34A2">
        <w:rPr>
          <w:rFonts w:ascii="標楷體" w:eastAsia="標楷體" w:hAnsi="標楷體" w:cs="Arial" w:hint="eastAsia"/>
          <w:color w:val="000000"/>
          <w:kern w:val="0"/>
          <w:szCs w:val="24"/>
        </w:rPr>
        <w:t>台債利率技術上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5年期</w:t>
      </w:r>
      <w:proofErr w:type="gramStart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線開始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要向上接觸季線，月線也有轉為上揚的跡象</w:t>
      </w:r>
      <w:r w:rsidR="00320D13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="00942624">
        <w:rPr>
          <w:rFonts w:ascii="標楷體" w:eastAsia="標楷體" w:hAnsi="標楷體" w:cs="Arial" w:hint="eastAsia"/>
          <w:color w:val="000000"/>
          <w:kern w:val="0"/>
          <w:szCs w:val="24"/>
        </w:rPr>
        <w:t>但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郵局的買盤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多少壓抑利率的表態。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籌碼方面，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新10</w:t>
      </w:r>
      <w:r w:rsidR="00155178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proofErr w:type="gramStart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B32F9F">
        <w:rPr>
          <w:rFonts w:ascii="標楷體" w:eastAsia="標楷體" w:hAnsi="標楷體" w:cs="Arial" w:hint="eastAsia"/>
          <w:color w:val="000000"/>
          <w:kern w:val="0"/>
          <w:szCs w:val="24"/>
        </w:rPr>
        <w:t>即將在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本</w:t>
      </w:r>
      <w:proofErr w:type="gramStart"/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週</w:t>
      </w:r>
      <w:proofErr w:type="gramEnd"/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開始發行前交易，</w:t>
      </w:r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5月另有一檔新五年</w:t>
      </w:r>
      <w:proofErr w:type="gramStart"/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券</w:t>
      </w:r>
      <w:proofErr w:type="gramEnd"/>
      <w:r w:rsidR="00785211">
        <w:rPr>
          <w:rFonts w:ascii="標楷體" w:eastAsia="標楷體" w:hAnsi="標楷體" w:cs="Arial" w:hint="eastAsia"/>
          <w:color w:val="000000"/>
          <w:kern w:val="0"/>
          <w:szCs w:val="24"/>
        </w:rPr>
        <w:t>發行前交易上場，預料利率上漲的壓力會逐漸浮現</w:t>
      </w:r>
      <w:r w:rsidR="003F35FA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FA0F4F" w:rsidRPr="00600F5C" w:rsidRDefault="00EB77FD" w:rsidP="003F35FA">
      <w:pPr>
        <w:widowControl/>
        <w:ind w:leftChars="50" w:left="120" w:firstLineChars="150" w:firstLine="360"/>
        <w:jc w:val="both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經濟數據方面，預計公布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台灣</w:t>
      </w:r>
      <w:r w:rsidR="00785211">
        <w:rPr>
          <w:rFonts w:ascii="標楷體" w:eastAsia="標楷體" w:hAnsi="標楷體" w:cs="Arial" w:hint="eastAsia"/>
          <w:color w:val="000000"/>
          <w:kern w:val="0"/>
        </w:rPr>
        <w:t>4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r w:rsidR="00785211">
        <w:rPr>
          <w:rFonts w:ascii="標楷體" w:eastAsia="標楷體" w:hAnsi="標楷體" w:cs="Arial" w:hint="eastAsia"/>
          <w:color w:val="000000"/>
          <w:kern w:val="0"/>
        </w:rPr>
        <w:t>CPI</w:t>
      </w:r>
      <w:r w:rsidR="00360148">
        <w:rPr>
          <w:rFonts w:ascii="標楷體" w:eastAsia="標楷體" w:hAnsi="標楷體" w:cs="Arial" w:hint="eastAsia"/>
          <w:color w:val="000000"/>
          <w:kern w:val="0"/>
        </w:rPr>
        <w:t>、</w:t>
      </w:r>
      <w:r w:rsidR="00785211">
        <w:rPr>
          <w:rFonts w:ascii="標楷體" w:eastAsia="標楷體" w:hAnsi="標楷體" w:cs="Arial" w:hint="eastAsia"/>
          <w:color w:val="000000"/>
          <w:kern w:val="0"/>
        </w:rPr>
        <w:t>4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r w:rsidR="00785211">
        <w:rPr>
          <w:rFonts w:ascii="標楷體" w:eastAsia="標楷體" w:hAnsi="標楷體" w:cs="Arial" w:hint="eastAsia"/>
          <w:color w:val="000000"/>
          <w:kern w:val="0"/>
        </w:rPr>
        <w:t>出口</w:t>
      </w:r>
      <w:r w:rsidR="00360148">
        <w:rPr>
          <w:rFonts w:ascii="標楷體" w:eastAsia="標楷體" w:hAnsi="標楷體" w:cs="Arial" w:hint="eastAsia"/>
          <w:color w:val="000000"/>
          <w:kern w:val="0"/>
        </w:rPr>
        <w:t>，</w:t>
      </w:r>
      <w:r w:rsidR="003F35FA">
        <w:rPr>
          <w:rFonts w:ascii="標楷體" w:eastAsia="標楷體" w:hAnsi="標楷體" w:cs="Arial" w:hint="eastAsia"/>
          <w:color w:val="000000"/>
          <w:kern w:val="0"/>
        </w:rPr>
        <w:t>美</w:t>
      </w:r>
      <w:r w:rsidR="00360148">
        <w:rPr>
          <w:rFonts w:ascii="標楷體" w:eastAsia="標楷體" w:hAnsi="標楷體" w:cs="Arial" w:hint="eastAsia"/>
          <w:color w:val="000000"/>
          <w:kern w:val="0"/>
        </w:rPr>
        <w:t>國</w:t>
      </w:r>
      <w:r w:rsidR="00785211">
        <w:rPr>
          <w:rFonts w:ascii="標楷體" w:eastAsia="標楷體" w:hAnsi="標楷體" w:cs="Arial" w:hint="eastAsia"/>
          <w:color w:val="000000"/>
          <w:kern w:val="0"/>
        </w:rPr>
        <w:t>有</w:t>
      </w:r>
      <w:r w:rsidR="003F35FA">
        <w:rPr>
          <w:rFonts w:ascii="標楷體" w:eastAsia="標楷體" w:hAnsi="標楷體" w:cs="Arial" w:hint="eastAsia"/>
          <w:color w:val="000000"/>
          <w:kern w:val="0"/>
        </w:rPr>
        <w:t>4</w:t>
      </w:r>
      <w:r w:rsidR="00360148">
        <w:rPr>
          <w:rFonts w:ascii="標楷體" w:eastAsia="標楷體" w:hAnsi="標楷體" w:cs="Arial" w:hint="eastAsia"/>
          <w:color w:val="000000"/>
          <w:kern w:val="0"/>
        </w:rPr>
        <w:t>月</w:t>
      </w:r>
      <w:proofErr w:type="spellStart"/>
      <w:r w:rsidR="003F35FA">
        <w:rPr>
          <w:rFonts w:ascii="標楷體" w:eastAsia="標楷體" w:hAnsi="標楷體" w:cs="Arial" w:hint="eastAsia"/>
          <w:color w:val="000000"/>
          <w:kern w:val="0"/>
        </w:rPr>
        <w:t>Markit</w:t>
      </w:r>
      <w:proofErr w:type="spellEnd"/>
      <w:r w:rsidR="003F35FA">
        <w:rPr>
          <w:rFonts w:ascii="標楷體" w:eastAsia="標楷體" w:hAnsi="標楷體" w:cs="Arial" w:hint="eastAsia"/>
          <w:color w:val="000000"/>
          <w:kern w:val="0"/>
        </w:rPr>
        <w:t>之</w:t>
      </w:r>
      <w:r w:rsidR="00785211">
        <w:rPr>
          <w:rFonts w:ascii="標楷體" w:eastAsia="標楷體" w:hAnsi="標楷體" w:cs="Arial" w:hint="eastAsia"/>
          <w:color w:val="000000"/>
          <w:kern w:val="0"/>
        </w:rPr>
        <w:t>服務業</w:t>
      </w:r>
      <w:r w:rsidR="003F35FA">
        <w:rPr>
          <w:rFonts w:ascii="標楷體" w:eastAsia="標楷體" w:hAnsi="標楷體" w:cs="Arial" w:hint="eastAsia"/>
          <w:color w:val="000000"/>
          <w:kern w:val="0"/>
        </w:rPr>
        <w:t>PMI</w:t>
      </w:r>
      <w:r w:rsidR="00785211">
        <w:rPr>
          <w:rFonts w:ascii="標楷體" w:eastAsia="標楷體" w:hAnsi="標楷體" w:cs="Arial" w:hint="eastAsia"/>
          <w:color w:val="000000"/>
          <w:kern w:val="0"/>
        </w:rPr>
        <w:t>，ISM服務業指數，4月非農就業報告及3月耐久財訂單等</w:t>
      </w:r>
      <w:r w:rsidR="00360148">
        <w:rPr>
          <w:rFonts w:ascii="標楷體" w:eastAsia="標楷體" w:hAnsi="標楷體" w:cs="Arial" w:hint="eastAsia"/>
          <w:color w:val="000000"/>
          <w:kern w:val="0"/>
        </w:rPr>
        <w:t>。</w:t>
      </w:r>
      <w:r w:rsidR="00B3767C">
        <w:rPr>
          <w:rFonts w:ascii="標楷體" w:eastAsia="標楷體" w:hAnsi="標楷體" w:cs="Arial" w:hint="eastAsia"/>
          <w:color w:val="000000"/>
          <w:kern w:val="0"/>
        </w:rPr>
        <w:t>經濟數據剛好有關於第一季的最後幾項數據，以及新的第二季開頭數據，對於能否扭轉第一季的疲弱，乃關鍵時機</w:t>
      </w:r>
      <w:r w:rsidR="00790F40">
        <w:rPr>
          <w:rFonts w:ascii="標楷體" w:eastAsia="標楷體" w:hAnsi="標楷體" w:cs="Arial" w:hint="eastAsia"/>
          <w:color w:val="000000"/>
          <w:kern w:val="0"/>
        </w:rPr>
        <w:t>。目前</w:t>
      </w:r>
      <w:r w:rsidR="003F35FA">
        <w:rPr>
          <w:rFonts w:ascii="標楷體" w:eastAsia="標楷體" w:hAnsi="標楷體" w:cs="Arial" w:hint="eastAsia"/>
          <w:color w:val="000000"/>
          <w:kern w:val="0"/>
        </w:rPr>
        <w:t>中國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後續的貨幣政策仍偏向寬鬆，對台債利率走勢略有壓抑，而歐洲從歐元走勢觀之，似乎ECB的寬鬆政策已有成效顯現，歐債主要國家利率</w:t>
      </w:r>
      <w:r w:rsidR="00790F40">
        <w:rPr>
          <w:rFonts w:ascii="標楷體" w:eastAsia="標楷體" w:hAnsi="標楷體" w:cs="Arial" w:hint="eastAsia"/>
          <w:color w:val="000000"/>
          <w:kern w:val="0"/>
        </w:rPr>
        <w:t>呈現</w:t>
      </w:r>
      <w:r w:rsidR="00B3767C">
        <w:rPr>
          <w:rFonts w:ascii="標楷體" w:eastAsia="標楷體" w:hAnsi="標楷體" w:cs="Arial" w:hint="eastAsia"/>
          <w:color w:val="000000"/>
          <w:kern w:val="0"/>
        </w:rPr>
        <w:t>上漲</w:t>
      </w:r>
      <w:r w:rsidR="00327B5B">
        <w:rPr>
          <w:rFonts w:ascii="標楷體" w:eastAsia="標楷體" w:hAnsi="標楷體" w:cs="Arial" w:hint="eastAsia"/>
          <w:color w:val="000000"/>
          <w:kern w:val="0"/>
        </w:rPr>
        <w:t>。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台債利率有機會脫離底部的盤整區間</w:t>
      </w:r>
      <w:r w:rsidR="003F35FA">
        <w:rPr>
          <w:rFonts w:ascii="標楷體" w:eastAsia="標楷體" w:hAnsi="標楷體" w:cs="Arial" w:hint="eastAsia"/>
          <w:color w:val="000000"/>
          <w:kern w:val="0"/>
        </w:rPr>
        <w:t>。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台債操作</w:t>
      </w:r>
      <w:proofErr w:type="gramEnd"/>
      <w:r w:rsidR="00F82563">
        <w:rPr>
          <w:rFonts w:ascii="標楷體" w:eastAsia="標楷體" w:hAnsi="標楷體" w:cs="Arial" w:hint="eastAsia"/>
          <w:color w:val="000000"/>
          <w:kern w:val="0"/>
        </w:rPr>
        <w:t>上，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>越接近6月</w:t>
      </w:r>
      <w:r w:rsidR="00F82563">
        <w:rPr>
          <w:rFonts w:ascii="標楷體" w:eastAsia="標楷體" w:hAnsi="標楷體" w:cs="Arial" w:hint="eastAsia"/>
          <w:color w:val="000000"/>
          <w:kern w:val="0"/>
        </w:rPr>
        <w:t>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利率上漲的風險愈大</w:t>
      </w:r>
      <w:r w:rsidR="00F82563">
        <w:rPr>
          <w:rFonts w:ascii="標楷體" w:eastAsia="標楷體" w:hAnsi="標楷體" w:cs="Arial" w:hint="eastAsia"/>
          <w:color w:val="000000"/>
          <w:kern w:val="0"/>
        </w:rPr>
        <w:t>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="00F82563">
        <w:rPr>
          <w:rFonts w:ascii="標楷體" w:eastAsia="標楷體" w:hAnsi="標楷體" w:cs="Arial" w:hint="eastAsia"/>
          <w:color w:val="000000"/>
          <w:kern w:val="0"/>
        </w:rPr>
        <w:t>5年</w:t>
      </w:r>
      <w:proofErr w:type="gramStart"/>
      <w:r w:rsidR="00F82563">
        <w:rPr>
          <w:rFonts w:ascii="標楷體" w:eastAsia="標楷體" w:hAnsi="標楷體" w:cs="Arial" w:hint="eastAsia"/>
          <w:color w:val="000000"/>
          <w:kern w:val="0"/>
        </w:rPr>
        <w:t>券</w:t>
      </w:r>
      <w:proofErr w:type="gramEnd"/>
      <w:r w:rsidR="003F35FA">
        <w:rPr>
          <w:rFonts w:ascii="標楷體" w:eastAsia="標楷體" w:hAnsi="標楷體" w:cs="Arial" w:hint="eastAsia"/>
          <w:color w:val="000000"/>
          <w:kern w:val="0"/>
        </w:rPr>
        <w:t>利率</w:t>
      </w:r>
      <w:r w:rsidR="00B3767C">
        <w:rPr>
          <w:rFonts w:ascii="標楷體" w:eastAsia="標楷體" w:hAnsi="標楷體" w:cs="Arial" w:hint="eastAsia"/>
          <w:color w:val="000000"/>
          <w:kern w:val="0"/>
        </w:rPr>
        <w:t>仍</w:t>
      </w:r>
      <w:r w:rsidR="003F35FA">
        <w:rPr>
          <w:rFonts w:ascii="標楷體" w:eastAsia="標楷體" w:hAnsi="標楷體" w:cs="Arial" w:hint="eastAsia"/>
          <w:color w:val="000000"/>
          <w:kern w:val="0"/>
        </w:rPr>
        <w:t>偏低，</w:t>
      </w:r>
      <w:r w:rsidR="00B3767C">
        <w:rPr>
          <w:rFonts w:ascii="標楷體" w:eastAsia="標楷體" w:hAnsi="標楷體" w:cs="Arial" w:hint="eastAsia"/>
          <w:color w:val="000000"/>
          <w:kern w:val="0"/>
        </w:rPr>
        <w:t>在利率升高之際，少量布局為宜</w:t>
      </w:r>
      <w:r w:rsidR="00C63140">
        <w:rPr>
          <w:rFonts w:ascii="標楷體" w:eastAsia="標楷體" w:hAnsi="標楷體" w:cs="Arial" w:hint="eastAsia"/>
          <w:color w:val="000000"/>
          <w:kern w:val="0"/>
        </w:rPr>
        <w:t>。10y利率先看</w:t>
      </w:r>
      <w:r w:rsidR="001E0C4E">
        <w:rPr>
          <w:rFonts w:ascii="標楷體" w:eastAsia="標楷體" w:hAnsi="標楷體" w:cs="Arial" w:hint="eastAsia"/>
          <w:color w:val="000000"/>
          <w:kern w:val="0"/>
        </w:rPr>
        <w:t>1.</w:t>
      </w:r>
      <w:r w:rsidR="00B3767C">
        <w:rPr>
          <w:rFonts w:ascii="標楷體" w:eastAsia="標楷體" w:hAnsi="標楷體" w:cs="Arial" w:hint="eastAsia"/>
          <w:color w:val="000000"/>
          <w:kern w:val="0"/>
        </w:rPr>
        <w:t>54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%-1.</w:t>
      </w:r>
      <w:r w:rsidR="00B3767C">
        <w:rPr>
          <w:rFonts w:ascii="標楷體" w:eastAsia="標楷體" w:hAnsi="標楷體" w:cs="Arial" w:hint="eastAsia"/>
          <w:color w:val="000000"/>
          <w:kern w:val="0"/>
        </w:rPr>
        <w:t>60</w:t>
      </w:r>
      <w:r w:rsidR="001E7B6C">
        <w:rPr>
          <w:rFonts w:ascii="標楷體" w:eastAsia="標楷體" w:hAnsi="標楷體" w:cs="Arial" w:hint="eastAsia"/>
          <w:color w:val="000000"/>
          <w:kern w:val="0"/>
        </w:rPr>
        <w:t>%。</w:t>
      </w:r>
    </w:p>
    <w:sectPr w:rsidR="00FA0F4F" w:rsidRPr="00600F5C" w:rsidSect="005332BF">
      <w:footerReference w:type="default" r:id="rId20"/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94" w:rsidRDefault="007C3294" w:rsidP="009A5421">
      <w:r>
        <w:separator/>
      </w:r>
    </w:p>
  </w:endnote>
  <w:endnote w:type="continuationSeparator" w:id="0">
    <w:p w:rsidR="007C3294" w:rsidRDefault="007C3294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693795"/>
      <w:docPartObj>
        <w:docPartGallery w:val="Page Numbers (Bottom of Page)"/>
        <w:docPartUnique/>
      </w:docPartObj>
    </w:sdtPr>
    <w:sdtEndPr/>
    <w:sdtContent>
      <w:p w:rsidR="00791E70" w:rsidRDefault="00791E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CF" w:rsidRPr="00915FCF">
          <w:rPr>
            <w:noProof/>
            <w:lang w:val="zh-TW"/>
          </w:rPr>
          <w:t>1</w:t>
        </w:r>
        <w:r>
          <w:fldChar w:fldCharType="end"/>
        </w:r>
      </w:p>
    </w:sdtContent>
  </w:sdt>
  <w:p w:rsidR="00791E70" w:rsidRDefault="00791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94" w:rsidRDefault="007C3294" w:rsidP="009A5421">
      <w:r>
        <w:separator/>
      </w:r>
    </w:p>
  </w:footnote>
  <w:footnote w:type="continuationSeparator" w:id="0">
    <w:p w:rsidR="007C3294" w:rsidRDefault="007C3294" w:rsidP="009A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79"/>
    <w:multiLevelType w:val="hybridMultilevel"/>
    <w:tmpl w:val="C9F432F2"/>
    <w:lvl w:ilvl="0" w:tplc="73564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A7C"/>
    <w:rsid w:val="00002C24"/>
    <w:rsid w:val="000030C5"/>
    <w:rsid w:val="000053D6"/>
    <w:rsid w:val="0000634F"/>
    <w:rsid w:val="00007333"/>
    <w:rsid w:val="00007718"/>
    <w:rsid w:val="00007B88"/>
    <w:rsid w:val="00012EDF"/>
    <w:rsid w:val="00017C67"/>
    <w:rsid w:val="00024414"/>
    <w:rsid w:val="000257AC"/>
    <w:rsid w:val="00027472"/>
    <w:rsid w:val="00036ABA"/>
    <w:rsid w:val="00037A2E"/>
    <w:rsid w:val="00056ED9"/>
    <w:rsid w:val="00062224"/>
    <w:rsid w:val="0006671F"/>
    <w:rsid w:val="000713A2"/>
    <w:rsid w:val="000724A8"/>
    <w:rsid w:val="00075C50"/>
    <w:rsid w:val="0007724B"/>
    <w:rsid w:val="00081B4A"/>
    <w:rsid w:val="00082464"/>
    <w:rsid w:val="000849C6"/>
    <w:rsid w:val="000944CC"/>
    <w:rsid w:val="00095D94"/>
    <w:rsid w:val="00097A42"/>
    <w:rsid w:val="000A04D1"/>
    <w:rsid w:val="000A477A"/>
    <w:rsid w:val="000B3EE6"/>
    <w:rsid w:val="000B6AC2"/>
    <w:rsid w:val="000C06F0"/>
    <w:rsid w:val="000C318D"/>
    <w:rsid w:val="000C42A3"/>
    <w:rsid w:val="000C4F28"/>
    <w:rsid w:val="000C5C36"/>
    <w:rsid w:val="000C6C6F"/>
    <w:rsid w:val="000C77F5"/>
    <w:rsid w:val="000D14BF"/>
    <w:rsid w:val="000D252F"/>
    <w:rsid w:val="000D2D90"/>
    <w:rsid w:val="000D6232"/>
    <w:rsid w:val="000D62DD"/>
    <w:rsid w:val="000E012C"/>
    <w:rsid w:val="000E0D07"/>
    <w:rsid w:val="000E0EB0"/>
    <w:rsid w:val="000E2E15"/>
    <w:rsid w:val="000E386F"/>
    <w:rsid w:val="000E533D"/>
    <w:rsid w:val="000E6AC2"/>
    <w:rsid w:val="000F4E73"/>
    <w:rsid w:val="000F7DE7"/>
    <w:rsid w:val="001009D8"/>
    <w:rsid w:val="001038B4"/>
    <w:rsid w:val="00110464"/>
    <w:rsid w:val="00110F51"/>
    <w:rsid w:val="00115520"/>
    <w:rsid w:val="001158B5"/>
    <w:rsid w:val="00115CE8"/>
    <w:rsid w:val="0012142F"/>
    <w:rsid w:val="00122680"/>
    <w:rsid w:val="001229FD"/>
    <w:rsid w:val="00126281"/>
    <w:rsid w:val="0013244C"/>
    <w:rsid w:val="00134E37"/>
    <w:rsid w:val="001355C8"/>
    <w:rsid w:val="0013641B"/>
    <w:rsid w:val="00137FEB"/>
    <w:rsid w:val="00142391"/>
    <w:rsid w:val="00146282"/>
    <w:rsid w:val="00146409"/>
    <w:rsid w:val="00150C21"/>
    <w:rsid w:val="00155178"/>
    <w:rsid w:val="00156248"/>
    <w:rsid w:val="0016265B"/>
    <w:rsid w:val="00163F16"/>
    <w:rsid w:val="00164E04"/>
    <w:rsid w:val="00165B6D"/>
    <w:rsid w:val="00176304"/>
    <w:rsid w:val="001779B9"/>
    <w:rsid w:val="00177C5F"/>
    <w:rsid w:val="00187FBF"/>
    <w:rsid w:val="00194255"/>
    <w:rsid w:val="00194DC7"/>
    <w:rsid w:val="00194E99"/>
    <w:rsid w:val="001A1CD7"/>
    <w:rsid w:val="001A2274"/>
    <w:rsid w:val="001A2DEF"/>
    <w:rsid w:val="001A7D7F"/>
    <w:rsid w:val="001B2FB5"/>
    <w:rsid w:val="001B55CD"/>
    <w:rsid w:val="001C12D6"/>
    <w:rsid w:val="001C4DD1"/>
    <w:rsid w:val="001C68D3"/>
    <w:rsid w:val="001E0C4E"/>
    <w:rsid w:val="001E6A2D"/>
    <w:rsid w:val="001E735C"/>
    <w:rsid w:val="001E7B6C"/>
    <w:rsid w:val="001F2D16"/>
    <w:rsid w:val="001F6120"/>
    <w:rsid w:val="002038C6"/>
    <w:rsid w:val="00204F86"/>
    <w:rsid w:val="0020772B"/>
    <w:rsid w:val="00212656"/>
    <w:rsid w:val="0021769D"/>
    <w:rsid w:val="00230E5C"/>
    <w:rsid w:val="0023682B"/>
    <w:rsid w:val="00240929"/>
    <w:rsid w:val="00242E9D"/>
    <w:rsid w:val="00243A76"/>
    <w:rsid w:val="0024414A"/>
    <w:rsid w:val="002464F1"/>
    <w:rsid w:val="00255449"/>
    <w:rsid w:val="00260578"/>
    <w:rsid w:val="002616F5"/>
    <w:rsid w:val="00262185"/>
    <w:rsid w:val="002708AB"/>
    <w:rsid w:val="00271532"/>
    <w:rsid w:val="0027594E"/>
    <w:rsid w:val="00275CD0"/>
    <w:rsid w:val="00282BED"/>
    <w:rsid w:val="00283AC8"/>
    <w:rsid w:val="00284C70"/>
    <w:rsid w:val="002850E3"/>
    <w:rsid w:val="00287A15"/>
    <w:rsid w:val="00295BB6"/>
    <w:rsid w:val="00297871"/>
    <w:rsid w:val="00297BD7"/>
    <w:rsid w:val="002A22B8"/>
    <w:rsid w:val="002A57FA"/>
    <w:rsid w:val="002B12D6"/>
    <w:rsid w:val="002B1FBC"/>
    <w:rsid w:val="002B23B7"/>
    <w:rsid w:val="002B273F"/>
    <w:rsid w:val="002B7C8A"/>
    <w:rsid w:val="002C006E"/>
    <w:rsid w:val="002C3E08"/>
    <w:rsid w:val="002C4107"/>
    <w:rsid w:val="002C44B1"/>
    <w:rsid w:val="002D19F9"/>
    <w:rsid w:val="002D299F"/>
    <w:rsid w:val="002D3DDD"/>
    <w:rsid w:val="002D4BC5"/>
    <w:rsid w:val="002D7EFA"/>
    <w:rsid w:val="002E004C"/>
    <w:rsid w:val="002E1230"/>
    <w:rsid w:val="002E3D16"/>
    <w:rsid w:val="002E474A"/>
    <w:rsid w:val="002E4B38"/>
    <w:rsid w:val="002E4E92"/>
    <w:rsid w:val="002F0DBD"/>
    <w:rsid w:val="002F1A5D"/>
    <w:rsid w:val="002F26C9"/>
    <w:rsid w:val="002F38FC"/>
    <w:rsid w:val="002F4BB0"/>
    <w:rsid w:val="002F70C3"/>
    <w:rsid w:val="00310242"/>
    <w:rsid w:val="0031131A"/>
    <w:rsid w:val="003127E7"/>
    <w:rsid w:val="00313893"/>
    <w:rsid w:val="00314AB7"/>
    <w:rsid w:val="00314E7C"/>
    <w:rsid w:val="003208C7"/>
    <w:rsid w:val="00320D13"/>
    <w:rsid w:val="00322228"/>
    <w:rsid w:val="0032230A"/>
    <w:rsid w:val="00325971"/>
    <w:rsid w:val="00327B5B"/>
    <w:rsid w:val="00332A81"/>
    <w:rsid w:val="003360E6"/>
    <w:rsid w:val="00343709"/>
    <w:rsid w:val="00345A33"/>
    <w:rsid w:val="00346031"/>
    <w:rsid w:val="00350A00"/>
    <w:rsid w:val="00350F81"/>
    <w:rsid w:val="003521E3"/>
    <w:rsid w:val="003600DC"/>
    <w:rsid w:val="00360148"/>
    <w:rsid w:val="00361772"/>
    <w:rsid w:val="00361CA4"/>
    <w:rsid w:val="00363BD1"/>
    <w:rsid w:val="003640C2"/>
    <w:rsid w:val="00364CAB"/>
    <w:rsid w:val="00365302"/>
    <w:rsid w:val="00367A05"/>
    <w:rsid w:val="00370A31"/>
    <w:rsid w:val="00370A53"/>
    <w:rsid w:val="003758D3"/>
    <w:rsid w:val="0037753F"/>
    <w:rsid w:val="00380BE4"/>
    <w:rsid w:val="0038232E"/>
    <w:rsid w:val="00382E81"/>
    <w:rsid w:val="00383773"/>
    <w:rsid w:val="00384DF4"/>
    <w:rsid w:val="0038668F"/>
    <w:rsid w:val="00386E0D"/>
    <w:rsid w:val="00392B58"/>
    <w:rsid w:val="00392F03"/>
    <w:rsid w:val="00396152"/>
    <w:rsid w:val="00396191"/>
    <w:rsid w:val="00397545"/>
    <w:rsid w:val="003A04FC"/>
    <w:rsid w:val="003A5798"/>
    <w:rsid w:val="003A6C24"/>
    <w:rsid w:val="003A762F"/>
    <w:rsid w:val="003B0D81"/>
    <w:rsid w:val="003B327E"/>
    <w:rsid w:val="003C7A71"/>
    <w:rsid w:val="003D1701"/>
    <w:rsid w:val="003D2112"/>
    <w:rsid w:val="003D6497"/>
    <w:rsid w:val="003E13F0"/>
    <w:rsid w:val="003E5E79"/>
    <w:rsid w:val="003F1328"/>
    <w:rsid w:val="003F35FA"/>
    <w:rsid w:val="003F41F7"/>
    <w:rsid w:val="003F54FA"/>
    <w:rsid w:val="003F79EC"/>
    <w:rsid w:val="00400CCD"/>
    <w:rsid w:val="0040134F"/>
    <w:rsid w:val="00403728"/>
    <w:rsid w:val="00404D41"/>
    <w:rsid w:val="00404E15"/>
    <w:rsid w:val="00407884"/>
    <w:rsid w:val="00410B08"/>
    <w:rsid w:val="004127DC"/>
    <w:rsid w:val="00412D0B"/>
    <w:rsid w:val="0041787D"/>
    <w:rsid w:val="004204A7"/>
    <w:rsid w:val="00420A67"/>
    <w:rsid w:val="00422055"/>
    <w:rsid w:val="00427914"/>
    <w:rsid w:val="004279A5"/>
    <w:rsid w:val="00433B68"/>
    <w:rsid w:val="004357FC"/>
    <w:rsid w:val="00437D47"/>
    <w:rsid w:val="00441499"/>
    <w:rsid w:val="00441592"/>
    <w:rsid w:val="004432F9"/>
    <w:rsid w:val="004446B1"/>
    <w:rsid w:val="00446433"/>
    <w:rsid w:val="00450CCA"/>
    <w:rsid w:val="00451645"/>
    <w:rsid w:val="004525CC"/>
    <w:rsid w:val="004557E0"/>
    <w:rsid w:val="004604A0"/>
    <w:rsid w:val="0046590A"/>
    <w:rsid w:val="00467DA3"/>
    <w:rsid w:val="0047258F"/>
    <w:rsid w:val="00484E1E"/>
    <w:rsid w:val="004859A6"/>
    <w:rsid w:val="00492151"/>
    <w:rsid w:val="00492D7B"/>
    <w:rsid w:val="004B3AD1"/>
    <w:rsid w:val="004B5C92"/>
    <w:rsid w:val="004B6627"/>
    <w:rsid w:val="004B7C90"/>
    <w:rsid w:val="004C0DF3"/>
    <w:rsid w:val="004C43A9"/>
    <w:rsid w:val="004C60F5"/>
    <w:rsid w:val="004D4A2A"/>
    <w:rsid w:val="004D4DDA"/>
    <w:rsid w:val="004D5956"/>
    <w:rsid w:val="004E2520"/>
    <w:rsid w:val="004E6255"/>
    <w:rsid w:val="004E7CA7"/>
    <w:rsid w:val="00500B96"/>
    <w:rsid w:val="00503396"/>
    <w:rsid w:val="005064D3"/>
    <w:rsid w:val="00514A99"/>
    <w:rsid w:val="00520190"/>
    <w:rsid w:val="005204FD"/>
    <w:rsid w:val="0052685B"/>
    <w:rsid w:val="00527B88"/>
    <w:rsid w:val="0053090A"/>
    <w:rsid w:val="00530F1D"/>
    <w:rsid w:val="005332BF"/>
    <w:rsid w:val="0053454E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76229"/>
    <w:rsid w:val="005832CB"/>
    <w:rsid w:val="005878E3"/>
    <w:rsid w:val="00587937"/>
    <w:rsid w:val="00590715"/>
    <w:rsid w:val="005952A3"/>
    <w:rsid w:val="005962B3"/>
    <w:rsid w:val="005962C4"/>
    <w:rsid w:val="005A049A"/>
    <w:rsid w:val="005A2CE3"/>
    <w:rsid w:val="005A3DEB"/>
    <w:rsid w:val="005B5196"/>
    <w:rsid w:val="005C382F"/>
    <w:rsid w:val="005C4F4E"/>
    <w:rsid w:val="005C54CC"/>
    <w:rsid w:val="005C6664"/>
    <w:rsid w:val="005C67A8"/>
    <w:rsid w:val="005C7E77"/>
    <w:rsid w:val="005D4490"/>
    <w:rsid w:val="005D4C42"/>
    <w:rsid w:val="005D55D4"/>
    <w:rsid w:val="005D5B86"/>
    <w:rsid w:val="005E3048"/>
    <w:rsid w:val="005E4492"/>
    <w:rsid w:val="005E733E"/>
    <w:rsid w:val="0060048D"/>
    <w:rsid w:val="0060072D"/>
    <w:rsid w:val="00600F5C"/>
    <w:rsid w:val="00606DD6"/>
    <w:rsid w:val="006126F7"/>
    <w:rsid w:val="006177C6"/>
    <w:rsid w:val="00632660"/>
    <w:rsid w:val="00636955"/>
    <w:rsid w:val="0063773C"/>
    <w:rsid w:val="00643D43"/>
    <w:rsid w:val="00650B93"/>
    <w:rsid w:val="00655376"/>
    <w:rsid w:val="006566A5"/>
    <w:rsid w:val="00656FC6"/>
    <w:rsid w:val="006577E8"/>
    <w:rsid w:val="0067471C"/>
    <w:rsid w:val="006765D3"/>
    <w:rsid w:val="00676E8A"/>
    <w:rsid w:val="006816EF"/>
    <w:rsid w:val="00685587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A731E"/>
    <w:rsid w:val="006A7D3C"/>
    <w:rsid w:val="006B153B"/>
    <w:rsid w:val="006B22CC"/>
    <w:rsid w:val="006B640A"/>
    <w:rsid w:val="006C13BA"/>
    <w:rsid w:val="006C57F6"/>
    <w:rsid w:val="006C7C11"/>
    <w:rsid w:val="006D3ED6"/>
    <w:rsid w:val="006D5B9C"/>
    <w:rsid w:val="006E065F"/>
    <w:rsid w:val="006F124E"/>
    <w:rsid w:val="006F2B02"/>
    <w:rsid w:val="006F3005"/>
    <w:rsid w:val="006F58C2"/>
    <w:rsid w:val="006F65F3"/>
    <w:rsid w:val="00711444"/>
    <w:rsid w:val="00713BB1"/>
    <w:rsid w:val="007230E1"/>
    <w:rsid w:val="00732308"/>
    <w:rsid w:val="00732D01"/>
    <w:rsid w:val="00735750"/>
    <w:rsid w:val="00735CD5"/>
    <w:rsid w:val="00740924"/>
    <w:rsid w:val="007423E5"/>
    <w:rsid w:val="00750A76"/>
    <w:rsid w:val="007514BE"/>
    <w:rsid w:val="007538BE"/>
    <w:rsid w:val="00756C67"/>
    <w:rsid w:val="0076320B"/>
    <w:rsid w:val="007666FA"/>
    <w:rsid w:val="00772968"/>
    <w:rsid w:val="007841E5"/>
    <w:rsid w:val="00785211"/>
    <w:rsid w:val="00786E45"/>
    <w:rsid w:val="007902B0"/>
    <w:rsid w:val="00790F40"/>
    <w:rsid w:val="0079150C"/>
    <w:rsid w:val="00791E70"/>
    <w:rsid w:val="00794EE3"/>
    <w:rsid w:val="007A2930"/>
    <w:rsid w:val="007A4304"/>
    <w:rsid w:val="007A44FD"/>
    <w:rsid w:val="007A7AD2"/>
    <w:rsid w:val="007B2BE4"/>
    <w:rsid w:val="007C0118"/>
    <w:rsid w:val="007C0B2A"/>
    <w:rsid w:val="007C1625"/>
    <w:rsid w:val="007C20EB"/>
    <w:rsid w:val="007C3294"/>
    <w:rsid w:val="007C34A2"/>
    <w:rsid w:val="007D548E"/>
    <w:rsid w:val="007E14A5"/>
    <w:rsid w:val="007E1539"/>
    <w:rsid w:val="007E22E8"/>
    <w:rsid w:val="007F02C4"/>
    <w:rsid w:val="007F15C0"/>
    <w:rsid w:val="007F1877"/>
    <w:rsid w:val="007F3684"/>
    <w:rsid w:val="007F6479"/>
    <w:rsid w:val="00800A7C"/>
    <w:rsid w:val="0080691B"/>
    <w:rsid w:val="0081209B"/>
    <w:rsid w:val="008152CA"/>
    <w:rsid w:val="00815786"/>
    <w:rsid w:val="0082512A"/>
    <w:rsid w:val="00826E64"/>
    <w:rsid w:val="00832042"/>
    <w:rsid w:val="00832A60"/>
    <w:rsid w:val="0083408D"/>
    <w:rsid w:val="0083451F"/>
    <w:rsid w:val="00835361"/>
    <w:rsid w:val="008372C4"/>
    <w:rsid w:val="008405D4"/>
    <w:rsid w:val="008410F5"/>
    <w:rsid w:val="00841277"/>
    <w:rsid w:val="00846AE5"/>
    <w:rsid w:val="00847E9C"/>
    <w:rsid w:val="00850F26"/>
    <w:rsid w:val="00861091"/>
    <w:rsid w:val="00862138"/>
    <w:rsid w:val="00865AA6"/>
    <w:rsid w:val="008671F6"/>
    <w:rsid w:val="00867BB9"/>
    <w:rsid w:val="00870530"/>
    <w:rsid w:val="00871582"/>
    <w:rsid w:val="00873716"/>
    <w:rsid w:val="00880D7C"/>
    <w:rsid w:val="00882267"/>
    <w:rsid w:val="008859DE"/>
    <w:rsid w:val="00890A5E"/>
    <w:rsid w:val="00890F99"/>
    <w:rsid w:val="008934D9"/>
    <w:rsid w:val="008A06FC"/>
    <w:rsid w:val="008A128C"/>
    <w:rsid w:val="008A1D26"/>
    <w:rsid w:val="008A3054"/>
    <w:rsid w:val="008A3091"/>
    <w:rsid w:val="008A6B4D"/>
    <w:rsid w:val="008A718C"/>
    <w:rsid w:val="008B63FB"/>
    <w:rsid w:val="008C0CC7"/>
    <w:rsid w:val="008C59CC"/>
    <w:rsid w:val="008D07B8"/>
    <w:rsid w:val="008D0EA7"/>
    <w:rsid w:val="008D47DC"/>
    <w:rsid w:val="008D5537"/>
    <w:rsid w:val="008D566F"/>
    <w:rsid w:val="008D5711"/>
    <w:rsid w:val="008D7198"/>
    <w:rsid w:val="008E211E"/>
    <w:rsid w:val="008E23AE"/>
    <w:rsid w:val="008E2C65"/>
    <w:rsid w:val="008E3E99"/>
    <w:rsid w:val="008F1DFA"/>
    <w:rsid w:val="008F32B6"/>
    <w:rsid w:val="008F3FF6"/>
    <w:rsid w:val="008F7A4B"/>
    <w:rsid w:val="009005F8"/>
    <w:rsid w:val="00902833"/>
    <w:rsid w:val="00903B2B"/>
    <w:rsid w:val="00904801"/>
    <w:rsid w:val="00904AE8"/>
    <w:rsid w:val="0090679A"/>
    <w:rsid w:val="00907B8E"/>
    <w:rsid w:val="00910327"/>
    <w:rsid w:val="00915FCF"/>
    <w:rsid w:val="0091640F"/>
    <w:rsid w:val="00920DFF"/>
    <w:rsid w:val="0092495B"/>
    <w:rsid w:val="00924D56"/>
    <w:rsid w:val="0093014D"/>
    <w:rsid w:val="0093519D"/>
    <w:rsid w:val="00935824"/>
    <w:rsid w:val="00942624"/>
    <w:rsid w:val="009457F7"/>
    <w:rsid w:val="00951618"/>
    <w:rsid w:val="00953659"/>
    <w:rsid w:val="00955D67"/>
    <w:rsid w:val="0096694B"/>
    <w:rsid w:val="00971E49"/>
    <w:rsid w:val="00974238"/>
    <w:rsid w:val="0097496F"/>
    <w:rsid w:val="00975153"/>
    <w:rsid w:val="0097626E"/>
    <w:rsid w:val="00980AE8"/>
    <w:rsid w:val="00981086"/>
    <w:rsid w:val="00985EF5"/>
    <w:rsid w:val="0099533F"/>
    <w:rsid w:val="00995EE4"/>
    <w:rsid w:val="009972DC"/>
    <w:rsid w:val="009A2EE2"/>
    <w:rsid w:val="009A5421"/>
    <w:rsid w:val="009A59E1"/>
    <w:rsid w:val="009A763C"/>
    <w:rsid w:val="009A77A9"/>
    <w:rsid w:val="009B1147"/>
    <w:rsid w:val="009B43F1"/>
    <w:rsid w:val="009B6FEE"/>
    <w:rsid w:val="009C3CDE"/>
    <w:rsid w:val="009C6F04"/>
    <w:rsid w:val="009C77F6"/>
    <w:rsid w:val="009D073E"/>
    <w:rsid w:val="009D0D1E"/>
    <w:rsid w:val="009D2AEE"/>
    <w:rsid w:val="009E034A"/>
    <w:rsid w:val="009E0EC5"/>
    <w:rsid w:val="009E1A8D"/>
    <w:rsid w:val="009E2A2B"/>
    <w:rsid w:val="009E5C43"/>
    <w:rsid w:val="009F0860"/>
    <w:rsid w:val="009F3318"/>
    <w:rsid w:val="009F4633"/>
    <w:rsid w:val="009F54EB"/>
    <w:rsid w:val="009F5659"/>
    <w:rsid w:val="009F5DBA"/>
    <w:rsid w:val="009F62AB"/>
    <w:rsid w:val="00A0000E"/>
    <w:rsid w:val="00A00394"/>
    <w:rsid w:val="00A00CF2"/>
    <w:rsid w:val="00A01C65"/>
    <w:rsid w:val="00A06FA4"/>
    <w:rsid w:val="00A073E1"/>
    <w:rsid w:val="00A11FB0"/>
    <w:rsid w:val="00A1266F"/>
    <w:rsid w:val="00A1548F"/>
    <w:rsid w:val="00A24591"/>
    <w:rsid w:val="00A3433B"/>
    <w:rsid w:val="00A35061"/>
    <w:rsid w:val="00A371E6"/>
    <w:rsid w:val="00A4026E"/>
    <w:rsid w:val="00A41755"/>
    <w:rsid w:val="00A41ACD"/>
    <w:rsid w:val="00A46A8B"/>
    <w:rsid w:val="00A471AE"/>
    <w:rsid w:val="00A53107"/>
    <w:rsid w:val="00A53D35"/>
    <w:rsid w:val="00A619E0"/>
    <w:rsid w:val="00A61A08"/>
    <w:rsid w:val="00A61AE6"/>
    <w:rsid w:val="00A638B6"/>
    <w:rsid w:val="00A63945"/>
    <w:rsid w:val="00A64156"/>
    <w:rsid w:val="00A6456A"/>
    <w:rsid w:val="00A657AC"/>
    <w:rsid w:val="00A66782"/>
    <w:rsid w:val="00A679FC"/>
    <w:rsid w:val="00A71B89"/>
    <w:rsid w:val="00A72F55"/>
    <w:rsid w:val="00A73A67"/>
    <w:rsid w:val="00A75465"/>
    <w:rsid w:val="00A80240"/>
    <w:rsid w:val="00A85F94"/>
    <w:rsid w:val="00A86772"/>
    <w:rsid w:val="00A900A0"/>
    <w:rsid w:val="00A92CD8"/>
    <w:rsid w:val="00A95B3E"/>
    <w:rsid w:val="00A9767B"/>
    <w:rsid w:val="00A97B4D"/>
    <w:rsid w:val="00AA43DE"/>
    <w:rsid w:val="00AA67E3"/>
    <w:rsid w:val="00AB1B10"/>
    <w:rsid w:val="00AB1C5F"/>
    <w:rsid w:val="00AB26FB"/>
    <w:rsid w:val="00AB393B"/>
    <w:rsid w:val="00AB605A"/>
    <w:rsid w:val="00AB71A1"/>
    <w:rsid w:val="00AB76A4"/>
    <w:rsid w:val="00AC3A9E"/>
    <w:rsid w:val="00AC7380"/>
    <w:rsid w:val="00AC7FCF"/>
    <w:rsid w:val="00AD0164"/>
    <w:rsid w:val="00AD0C73"/>
    <w:rsid w:val="00AD40B7"/>
    <w:rsid w:val="00AD5734"/>
    <w:rsid w:val="00AE46BD"/>
    <w:rsid w:val="00AE5328"/>
    <w:rsid w:val="00AE71F3"/>
    <w:rsid w:val="00AF06EB"/>
    <w:rsid w:val="00B00DE6"/>
    <w:rsid w:val="00B053F9"/>
    <w:rsid w:val="00B10245"/>
    <w:rsid w:val="00B15C83"/>
    <w:rsid w:val="00B15CE4"/>
    <w:rsid w:val="00B20152"/>
    <w:rsid w:val="00B20966"/>
    <w:rsid w:val="00B2107E"/>
    <w:rsid w:val="00B23D8D"/>
    <w:rsid w:val="00B2497C"/>
    <w:rsid w:val="00B25D68"/>
    <w:rsid w:val="00B263AA"/>
    <w:rsid w:val="00B26E54"/>
    <w:rsid w:val="00B3013A"/>
    <w:rsid w:val="00B310E7"/>
    <w:rsid w:val="00B320A9"/>
    <w:rsid w:val="00B32F9F"/>
    <w:rsid w:val="00B3412A"/>
    <w:rsid w:val="00B3767C"/>
    <w:rsid w:val="00B379FA"/>
    <w:rsid w:val="00B37CD1"/>
    <w:rsid w:val="00B40DE8"/>
    <w:rsid w:val="00B4495B"/>
    <w:rsid w:val="00B45F79"/>
    <w:rsid w:val="00B465BF"/>
    <w:rsid w:val="00B46B87"/>
    <w:rsid w:val="00B50050"/>
    <w:rsid w:val="00B5191D"/>
    <w:rsid w:val="00B5382D"/>
    <w:rsid w:val="00B53C8C"/>
    <w:rsid w:val="00B53E68"/>
    <w:rsid w:val="00B56167"/>
    <w:rsid w:val="00B65968"/>
    <w:rsid w:val="00B73647"/>
    <w:rsid w:val="00B73A0E"/>
    <w:rsid w:val="00B755F2"/>
    <w:rsid w:val="00B81393"/>
    <w:rsid w:val="00B81A48"/>
    <w:rsid w:val="00B81BEA"/>
    <w:rsid w:val="00B83124"/>
    <w:rsid w:val="00B84CDF"/>
    <w:rsid w:val="00B869FE"/>
    <w:rsid w:val="00B9027B"/>
    <w:rsid w:val="00B912FE"/>
    <w:rsid w:val="00BA1540"/>
    <w:rsid w:val="00BA1931"/>
    <w:rsid w:val="00BA1DA9"/>
    <w:rsid w:val="00BA2827"/>
    <w:rsid w:val="00BA31AA"/>
    <w:rsid w:val="00BB3BFB"/>
    <w:rsid w:val="00BC0FAF"/>
    <w:rsid w:val="00BC2096"/>
    <w:rsid w:val="00BC3F0E"/>
    <w:rsid w:val="00BC6AAE"/>
    <w:rsid w:val="00BC723F"/>
    <w:rsid w:val="00BD18D8"/>
    <w:rsid w:val="00BD4D8C"/>
    <w:rsid w:val="00BD7A16"/>
    <w:rsid w:val="00BE2D66"/>
    <w:rsid w:val="00BE31A0"/>
    <w:rsid w:val="00BE66AB"/>
    <w:rsid w:val="00BE7532"/>
    <w:rsid w:val="00BF3FB0"/>
    <w:rsid w:val="00BF4BF9"/>
    <w:rsid w:val="00BF5DB6"/>
    <w:rsid w:val="00C04F5A"/>
    <w:rsid w:val="00C068C5"/>
    <w:rsid w:val="00C1000B"/>
    <w:rsid w:val="00C13ED8"/>
    <w:rsid w:val="00C149CF"/>
    <w:rsid w:val="00C150DA"/>
    <w:rsid w:val="00C16FFF"/>
    <w:rsid w:val="00C22307"/>
    <w:rsid w:val="00C22CC4"/>
    <w:rsid w:val="00C26E5B"/>
    <w:rsid w:val="00C273D8"/>
    <w:rsid w:val="00C27AC3"/>
    <w:rsid w:val="00C335B0"/>
    <w:rsid w:val="00C34E0C"/>
    <w:rsid w:val="00C364C5"/>
    <w:rsid w:val="00C416D1"/>
    <w:rsid w:val="00C44121"/>
    <w:rsid w:val="00C452FB"/>
    <w:rsid w:val="00C55E53"/>
    <w:rsid w:val="00C61EF8"/>
    <w:rsid w:val="00C63140"/>
    <w:rsid w:val="00C643FD"/>
    <w:rsid w:val="00C65330"/>
    <w:rsid w:val="00C6733F"/>
    <w:rsid w:val="00C75696"/>
    <w:rsid w:val="00C87A8D"/>
    <w:rsid w:val="00C905D1"/>
    <w:rsid w:val="00C9203A"/>
    <w:rsid w:val="00C92881"/>
    <w:rsid w:val="00C95B4C"/>
    <w:rsid w:val="00CA0F93"/>
    <w:rsid w:val="00CA1E32"/>
    <w:rsid w:val="00CA34A4"/>
    <w:rsid w:val="00CA5018"/>
    <w:rsid w:val="00CB6738"/>
    <w:rsid w:val="00CC4470"/>
    <w:rsid w:val="00CC7B57"/>
    <w:rsid w:val="00CD19CB"/>
    <w:rsid w:val="00CD678D"/>
    <w:rsid w:val="00CD7100"/>
    <w:rsid w:val="00CE03FD"/>
    <w:rsid w:val="00CE1BA1"/>
    <w:rsid w:val="00CE6437"/>
    <w:rsid w:val="00CF0128"/>
    <w:rsid w:val="00CF3AB5"/>
    <w:rsid w:val="00CF4BD4"/>
    <w:rsid w:val="00CF5833"/>
    <w:rsid w:val="00CF7CCC"/>
    <w:rsid w:val="00D013FC"/>
    <w:rsid w:val="00D03D35"/>
    <w:rsid w:val="00D03D46"/>
    <w:rsid w:val="00D12F90"/>
    <w:rsid w:val="00D21095"/>
    <w:rsid w:val="00D235F7"/>
    <w:rsid w:val="00D328C3"/>
    <w:rsid w:val="00D3740E"/>
    <w:rsid w:val="00D441E0"/>
    <w:rsid w:val="00D50DED"/>
    <w:rsid w:val="00D516AF"/>
    <w:rsid w:val="00D52443"/>
    <w:rsid w:val="00D53EC1"/>
    <w:rsid w:val="00D61ABB"/>
    <w:rsid w:val="00D62DCB"/>
    <w:rsid w:val="00D65DAC"/>
    <w:rsid w:val="00D710F2"/>
    <w:rsid w:val="00D712C8"/>
    <w:rsid w:val="00D77F70"/>
    <w:rsid w:val="00D77F96"/>
    <w:rsid w:val="00D8551C"/>
    <w:rsid w:val="00D906CC"/>
    <w:rsid w:val="00D90764"/>
    <w:rsid w:val="00D92519"/>
    <w:rsid w:val="00D963E4"/>
    <w:rsid w:val="00D967DD"/>
    <w:rsid w:val="00D96846"/>
    <w:rsid w:val="00DA0F0D"/>
    <w:rsid w:val="00DA3DD0"/>
    <w:rsid w:val="00DA75E0"/>
    <w:rsid w:val="00DA76B3"/>
    <w:rsid w:val="00DB0B35"/>
    <w:rsid w:val="00DB1B11"/>
    <w:rsid w:val="00DB48B5"/>
    <w:rsid w:val="00DC0632"/>
    <w:rsid w:val="00DC1096"/>
    <w:rsid w:val="00DC4D4D"/>
    <w:rsid w:val="00DC4F84"/>
    <w:rsid w:val="00DC6398"/>
    <w:rsid w:val="00DD0645"/>
    <w:rsid w:val="00DD182A"/>
    <w:rsid w:val="00DD2378"/>
    <w:rsid w:val="00DD311B"/>
    <w:rsid w:val="00DE0833"/>
    <w:rsid w:val="00DE0E2D"/>
    <w:rsid w:val="00DE10FA"/>
    <w:rsid w:val="00DE1419"/>
    <w:rsid w:val="00DE42B6"/>
    <w:rsid w:val="00DE4CCF"/>
    <w:rsid w:val="00DE4D36"/>
    <w:rsid w:val="00DE6FAA"/>
    <w:rsid w:val="00DF07B8"/>
    <w:rsid w:val="00DF0ABC"/>
    <w:rsid w:val="00DF32B2"/>
    <w:rsid w:val="00DF6BB5"/>
    <w:rsid w:val="00DF7432"/>
    <w:rsid w:val="00E002B1"/>
    <w:rsid w:val="00E148CC"/>
    <w:rsid w:val="00E14C24"/>
    <w:rsid w:val="00E17BFE"/>
    <w:rsid w:val="00E2348D"/>
    <w:rsid w:val="00E343E6"/>
    <w:rsid w:val="00E346F5"/>
    <w:rsid w:val="00E35135"/>
    <w:rsid w:val="00E37152"/>
    <w:rsid w:val="00E401B7"/>
    <w:rsid w:val="00E416A4"/>
    <w:rsid w:val="00E42292"/>
    <w:rsid w:val="00E42B5D"/>
    <w:rsid w:val="00E43AFE"/>
    <w:rsid w:val="00E44C9B"/>
    <w:rsid w:val="00E52888"/>
    <w:rsid w:val="00E5723F"/>
    <w:rsid w:val="00E604AE"/>
    <w:rsid w:val="00E60DEC"/>
    <w:rsid w:val="00E61E44"/>
    <w:rsid w:val="00E6395A"/>
    <w:rsid w:val="00E64247"/>
    <w:rsid w:val="00E65F36"/>
    <w:rsid w:val="00E67E39"/>
    <w:rsid w:val="00E704EF"/>
    <w:rsid w:val="00E712D8"/>
    <w:rsid w:val="00E72F68"/>
    <w:rsid w:val="00E732E4"/>
    <w:rsid w:val="00E747DE"/>
    <w:rsid w:val="00E75306"/>
    <w:rsid w:val="00E77390"/>
    <w:rsid w:val="00E83099"/>
    <w:rsid w:val="00E83125"/>
    <w:rsid w:val="00E8719B"/>
    <w:rsid w:val="00E91BAD"/>
    <w:rsid w:val="00E92238"/>
    <w:rsid w:val="00E935D7"/>
    <w:rsid w:val="00E948F2"/>
    <w:rsid w:val="00E949D1"/>
    <w:rsid w:val="00EA3BE3"/>
    <w:rsid w:val="00EB196D"/>
    <w:rsid w:val="00EB1D72"/>
    <w:rsid w:val="00EB3C15"/>
    <w:rsid w:val="00EB4DA6"/>
    <w:rsid w:val="00EB5062"/>
    <w:rsid w:val="00EB77FD"/>
    <w:rsid w:val="00EC1F48"/>
    <w:rsid w:val="00EC35E7"/>
    <w:rsid w:val="00EC503A"/>
    <w:rsid w:val="00EC788F"/>
    <w:rsid w:val="00ED639C"/>
    <w:rsid w:val="00EE0FEF"/>
    <w:rsid w:val="00EE28F0"/>
    <w:rsid w:val="00EF15CC"/>
    <w:rsid w:val="00EF2C1B"/>
    <w:rsid w:val="00EF501F"/>
    <w:rsid w:val="00F00997"/>
    <w:rsid w:val="00F0215A"/>
    <w:rsid w:val="00F03AA0"/>
    <w:rsid w:val="00F06D4D"/>
    <w:rsid w:val="00F110CE"/>
    <w:rsid w:val="00F14A36"/>
    <w:rsid w:val="00F159D0"/>
    <w:rsid w:val="00F15A8A"/>
    <w:rsid w:val="00F16577"/>
    <w:rsid w:val="00F172D2"/>
    <w:rsid w:val="00F17D68"/>
    <w:rsid w:val="00F21861"/>
    <w:rsid w:val="00F31BE1"/>
    <w:rsid w:val="00F41DAB"/>
    <w:rsid w:val="00F434D6"/>
    <w:rsid w:val="00F45925"/>
    <w:rsid w:val="00F46C18"/>
    <w:rsid w:val="00F47A10"/>
    <w:rsid w:val="00F534CA"/>
    <w:rsid w:val="00F62262"/>
    <w:rsid w:val="00F63696"/>
    <w:rsid w:val="00F63892"/>
    <w:rsid w:val="00F63D79"/>
    <w:rsid w:val="00F65C83"/>
    <w:rsid w:val="00F70F29"/>
    <w:rsid w:val="00F7206C"/>
    <w:rsid w:val="00F75C26"/>
    <w:rsid w:val="00F76392"/>
    <w:rsid w:val="00F8047D"/>
    <w:rsid w:val="00F823D4"/>
    <w:rsid w:val="00F82563"/>
    <w:rsid w:val="00F84CEF"/>
    <w:rsid w:val="00F85183"/>
    <w:rsid w:val="00F86852"/>
    <w:rsid w:val="00F906E0"/>
    <w:rsid w:val="00F92C76"/>
    <w:rsid w:val="00F92E9C"/>
    <w:rsid w:val="00F96223"/>
    <w:rsid w:val="00F97555"/>
    <w:rsid w:val="00FA0F4F"/>
    <w:rsid w:val="00FA0FDC"/>
    <w:rsid w:val="00FA150F"/>
    <w:rsid w:val="00FB2C8A"/>
    <w:rsid w:val="00FC0B2F"/>
    <w:rsid w:val="00FC0C79"/>
    <w:rsid w:val="00FC3A4B"/>
    <w:rsid w:val="00FC6C81"/>
    <w:rsid w:val="00FC777C"/>
    <w:rsid w:val="00FD31BB"/>
    <w:rsid w:val="00FE063B"/>
    <w:rsid w:val="00FE0717"/>
    <w:rsid w:val="00FE7425"/>
    <w:rsid w:val="00FF032C"/>
    <w:rsid w:val="00FF0FA2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BF5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3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  <w:style w:type="character" w:styleId="aa">
    <w:name w:val="Hyperlink"/>
    <w:basedOn w:val="a0"/>
    <w:uiPriority w:val="99"/>
    <w:semiHidden/>
    <w:unhideWhenUsed/>
    <w:rsid w:val="00AC3A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3A9E"/>
    <w:rPr>
      <w:color w:val="800080"/>
      <w:u w:val="single"/>
    </w:rPr>
  </w:style>
  <w:style w:type="paragraph" w:customStyle="1" w:styleId="xl65">
    <w:name w:val="xl65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C3A9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84BA-9E39-4A8C-82B3-E3B4AB6C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7</Pages>
  <Words>170</Words>
  <Characters>969</Characters>
  <Application>Microsoft Office Word</Application>
  <DocSecurity>0</DocSecurity>
  <Lines>8</Lines>
  <Paragraphs>2</Paragraphs>
  <ScaleCrop>false</ScaleCrop>
  <Company>大中票券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彭博系統</dc:creator>
  <cp:lastModifiedBy>彭博系統</cp:lastModifiedBy>
  <cp:revision>129</cp:revision>
  <cp:lastPrinted>2015-05-04T03:26:00Z</cp:lastPrinted>
  <dcterms:created xsi:type="dcterms:W3CDTF">2014-04-23T05:31:00Z</dcterms:created>
  <dcterms:modified xsi:type="dcterms:W3CDTF">2015-05-04T05:59:00Z</dcterms:modified>
</cp:coreProperties>
</file>