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F159D0">
        <w:rPr>
          <w:rFonts w:ascii="標楷體" w:eastAsia="標楷體" w:hAnsi="標楷體" w:hint="eastAsia"/>
          <w:b/>
          <w:sz w:val="28"/>
          <w:szCs w:val="28"/>
        </w:rPr>
        <w:t xml:space="preserve">  2014</w:t>
      </w:r>
      <w:r w:rsidR="00492D7B">
        <w:rPr>
          <w:rFonts w:ascii="標楷體" w:eastAsia="標楷體" w:hAnsi="標楷體"/>
          <w:b/>
          <w:sz w:val="28"/>
          <w:szCs w:val="28"/>
        </w:rPr>
        <w:t>/</w:t>
      </w:r>
      <w:r w:rsidR="00492D7B">
        <w:rPr>
          <w:rFonts w:ascii="標楷體" w:eastAsia="標楷體" w:hAnsi="標楷體" w:hint="eastAsia"/>
          <w:b/>
          <w:sz w:val="28"/>
          <w:szCs w:val="28"/>
        </w:rPr>
        <w:t>8/11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9767B" w:rsidRDefault="002464F1" w:rsidP="00E52888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以來，利率</w:t>
      </w:r>
      <w:r w:rsidR="00492D7B">
        <w:rPr>
          <w:rFonts w:ascii="標楷體" w:eastAsia="標楷體" w:hAnsi="標楷體" w:cs="Arial" w:hint="eastAsia"/>
          <w:color w:val="000000"/>
          <w:kern w:val="0"/>
          <w:szCs w:val="24"/>
        </w:rPr>
        <w:t>先是因為美國第二季GDP</w:t>
      </w:r>
      <w:proofErr w:type="gramStart"/>
      <w:r w:rsidR="00492D7B">
        <w:rPr>
          <w:rFonts w:ascii="標楷體" w:eastAsia="標楷體" w:hAnsi="標楷體" w:cs="Arial" w:hint="eastAsia"/>
          <w:color w:val="000000"/>
          <w:kern w:val="0"/>
          <w:szCs w:val="24"/>
        </w:rPr>
        <w:t>季增年率</w:t>
      </w:r>
      <w:proofErr w:type="gramEnd"/>
      <w:r w:rsidR="00492D7B">
        <w:rPr>
          <w:rFonts w:ascii="標楷體" w:eastAsia="標楷體" w:hAnsi="標楷體" w:cs="Arial" w:hint="eastAsia"/>
          <w:color w:val="000000"/>
          <w:kern w:val="0"/>
          <w:szCs w:val="24"/>
        </w:rPr>
        <w:t>為4%，一度大漲近10個基本點，但隨後因為7月非農就業報告不如預期，利率走跌。此外烏克蘭及伊拉克的地緣風險，避險</w:t>
      </w:r>
      <w:proofErr w:type="gramStart"/>
      <w:r w:rsidR="00492D7B">
        <w:rPr>
          <w:rFonts w:ascii="標楷體" w:eastAsia="標楷體" w:hAnsi="標楷體" w:cs="Arial" w:hint="eastAsia"/>
          <w:color w:val="000000"/>
          <w:kern w:val="0"/>
          <w:szCs w:val="24"/>
        </w:rPr>
        <w:t>買盤令美債</w:t>
      </w:r>
      <w:proofErr w:type="gramEnd"/>
      <w:r w:rsidR="00492D7B">
        <w:rPr>
          <w:rFonts w:ascii="標楷體" w:eastAsia="標楷體" w:hAnsi="標楷體" w:cs="Arial" w:hint="eastAsia"/>
          <w:color w:val="000000"/>
          <w:kern w:val="0"/>
          <w:szCs w:val="24"/>
        </w:rPr>
        <w:t>10y直利率走低至接近2.40%主要關卡</w:t>
      </w:r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上週末10y利率</w:t>
      </w:r>
      <w:r w:rsidR="00350A00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492D7B">
        <w:rPr>
          <w:rFonts w:ascii="標楷體" w:eastAsia="標楷體" w:hAnsi="標楷體" w:cs="Arial" w:hint="eastAsia"/>
          <w:color w:val="000000"/>
          <w:kern w:val="0"/>
          <w:szCs w:val="24"/>
        </w:rPr>
        <w:t>2.426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350A00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350A00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台債利率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在20年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A03111標在2.15%與30年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A03112標在2.30%後，顯示終端買盤仍支撐市場，壽險業並不因多檔寶島債發行而大舉流出公債市場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對各期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行情帶來穩定效果，加以國際債市利率偏下跌，引導5年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利率持續走低，10年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利率也跌破1.60%。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五收盤時，十年期利率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A03106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1.575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F159D0" w:rsidRDefault="00F159D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8A3091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5B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5B6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D92519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E0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E0E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52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52B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D3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D31F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7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734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92519">
        <w:rPr>
          <w:rFonts w:ascii="標楷體" w:eastAsia="標楷體" w:hAnsi="標楷體" w:hint="eastAsia"/>
          <w:b/>
          <w:sz w:val="26"/>
          <w:szCs w:val="26"/>
        </w:rPr>
        <w:t xml:space="preserve">美國實質GDP </w:t>
      </w:r>
      <w:proofErr w:type="gramStart"/>
      <w:r w:rsidRPr="00D92519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D92519">
        <w:rPr>
          <w:rFonts w:ascii="標楷體" w:eastAsia="標楷體" w:hAnsi="標楷體" w:hint="eastAsia"/>
          <w:b/>
          <w:sz w:val="26"/>
          <w:szCs w:val="26"/>
        </w:rPr>
        <w:t>(季比)</w:t>
      </w:r>
    </w:p>
    <w:p w:rsidR="003E13F0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89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892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92519">
        <w:rPr>
          <w:rFonts w:ascii="標楷體" w:eastAsia="標楷體" w:hAnsi="標楷體" w:hint="eastAsia"/>
          <w:b/>
          <w:sz w:val="26"/>
          <w:szCs w:val="26"/>
        </w:rPr>
        <w:t xml:space="preserve">美國個人消費核心物價指數 </w:t>
      </w:r>
      <w:proofErr w:type="gramStart"/>
      <w:r w:rsidRPr="00D92519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D92519">
        <w:rPr>
          <w:rFonts w:ascii="標楷體" w:eastAsia="標楷體" w:hAnsi="標楷體" w:hint="eastAsia"/>
          <w:b/>
          <w:sz w:val="26"/>
          <w:szCs w:val="26"/>
        </w:rPr>
        <w:t>(季比)</w:t>
      </w:r>
    </w:p>
    <w:p w:rsidR="001F2D16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76675"/>
            <wp:effectExtent l="0" t="0" r="0" b="0"/>
            <wp:docPr id="7" name="圖片 7" descr="C:\Users\bloomberg\AppData\Local\Temp\Bloomberg\Temp\bfm64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641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8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92519">
        <w:rPr>
          <w:rFonts w:ascii="標楷體" w:eastAsia="標楷體" w:hAnsi="標楷體" w:hint="eastAsia"/>
          <w:b/>
          <w:sz w:val="26"/>
          <w:szCs w:val="26"/>
        </w:rPr>
        <w:lastRenderedPageBreak/>
        <w:t>台灣實質GDP(年比) 2006=100</w:t>
      </w:r>
    </w:p>
    <w:p w:rsidR="003E13F0" w:rsidRPr="00985EF5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95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957E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4E7CA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4E7CA7">
        <w:rPr>
          <w:rFonts w:ascii="標楷體" w:eastAsia="標楷體" w:hAnsi="標楷體" w:hint="eastAsia"/>
          <w:b/>
          <w:sz w:val="26"/>
          <w:szCs w:val="26"/>
        </w:rPr>
        <w:t>台灣</w:t>
      </w:r>
      <w:r w:rsidR="00D92519" w:rsidRPr="00D92519">
        <w:rPr>
          <w:rFonts w:ascii="標楷體" w:eastAsia="標楷體" w:hAnsi="標楷體"/>
          <w:b/>
          <w:sz w:val="26"/>
          <w:szCs w:val="26"/>
        </w:rPr>
        <w:t>HSBC Taiwan Manufacturing PMI SA</w:t>
      </w:r>
    </w:p>
    <w:p w:rsidR="00C92881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EC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EC5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19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92519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美國非農業就業人口淨變動 </w:t>
      </w:r>
      <w:proofErr w:type="gramStart"/>
      <w:r w:rsidRPr="00D92519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D92519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D92519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0" name="圖片 10" descr="C:\Users\bloomberg\AppData\Local\Temp\Bloomberg\Temp\bfm58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loomberg\AppData\Local\Temp\Bloomberg\Temp\bfm587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19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92519">
        <w:rPr>
          <w:rFonts w:ascii="標楷體" w:eastAsia="標楷體" w:hAnsi="標楷體" w:hint="eastAsia"/>
          <w:b/>
          <w:sz w:val="26"/>
          <w:szCs w:val="26"/>
        </w:rPr>
        <w:t xml:space="preserve">美國供應管理協會全國製造業採購經理人指數 </w:t>
      </w:r>
      <w:proofErr w:type="gramStart"/>
      <w:r w:rsidRPr="00D92519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D92519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1" name="圖片 11" descr="C:\Users\bloomberg\AppData\Local\Temp\Bloomberg\Temp\bfm43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loomberg\AppData\Local\Temp\Bloomberg\Temp\bfm43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CF4BD4" w:rsidRDefault="00E343E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8630" w:dyaOrig="9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31.25pt;height:471pt" o:ole="">
            <v:imagedata r:id="rId19" o:title=""/>
          </v:shape>
          <o:OLEObject Type="Embed" ProgID="Excel.Sheet.12" ShapeID="_x0000_i1047" DrawAspect="Content" ObjectID="_1469258804" r:id="rId20"/>
        </w:object>
      </w:r>
      <w:bookmarkStart w:id="0" w:name="_GoBack"/>
      <w:bookmarkEnd w:id="0"/>
    </w:p>
    <w:p w:rsidR="00012EDF" w:rsidRPr="001F2D16" w:rsidRDefault="00012ED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904AE8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2B1FBC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2B1FBC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</w:rPr>
        <w:t>無新的公債發行</w:t>
      </w:r>
      <w:r w:rsidR="00902833">
        <w:rPr>
          <w:rFonts w:ascii="標楷體" w:eastAsia="標楷體" w:hAnsi="標楷體" w:cs="Arial" w:hint="eastAsia"/>
          <w:color w:val="000000"/>
          <w:kern w:val="0"/>
        </w:rPr>
        <w:t>。</w:t>
      </w:r>
      <w:r w:rsidR="00446433">
        <w:rPr>
          <w:rFonts w:ascii="標楷體" w:eastAsia="標楷體" w:hAnsi="標楷體" w:cs="Arial" w:hint="eastAsia"/>
          <w:color w:val="000000"/>
          <w:kern w:val="0"/>
        </w:rPr>
        <w:t>基本面方面，</w:t>
      </w:r>
      <w:r w:rsidR="006C7C11">
        <w:rPr>
          <w:rFonts w:ascii="標楷體" w:eastAsia="標楷體" w:hAnsi="標楷體" w:cs="Arial" w:hint="eastAsia"/>
          <w:color w:val="000000"/>
          <w:kern w:val="0"/>
        </w:rPr>
        <w:t>美國經濟數據</w:t>
      </w:r>
      <w:r w:rsidR="00902833">
        <w:rPr>
          <w:rFonts w:ascii="標楷體" w:eastAsia="標楷體" w:hAnsi="標楷體" w:cs="Arial" w:hint="eastAsia"/>
          <w:color w:val="000000"/>
          <w:kern w:val="0"/>
        </w:rPr>
        <w:t>有</w:t>
      </w:r>
      <w:r w:rsidR="00F110CE">
        <w:rPr>
          <w:rFonts w:ascii="標楷體" w:eastAsia="標楷體" w:hAnsi="標楷體" w:cs="Arial" w:hint="eastAsia"/>
          <w:color w:val="000000"/>
          <w:kern w:val="0"/>
        </w:rPr>
        <w:t>7</w:t>
      </w:r>
      <w:r w:rsidR="00FC6C81">
        <w:rPr>
          <w:rFonts w:ascii="標楷體" w:eastAsia="標楷體" w:hAnsi="標楷體" w:cs="Arial" w:hint="eastAsia"/>
          <w:color w:val="000000"/>
          <w:kern w:val="0"/>
        </w:rPr>
        <w:t>月</w:t>
      </w:r>
      <w:r w:rsidR="00F110CE">
        <w:rPr>
          <w:rFonts w:ascii="標楷體" w:eastAsia="標楷體" w:hAnsi="標楷體" w:cs="Arial" w:hint="eastAsia"/>
          <w:color w:val="000000"/>
          <w:kern w:val="0"/>
        </w:rPr>
        <w:t>零售銷售</w:t>
      </w:r>
      <w:r w:rsidR="003127E7">
        <w:rPr>
          <w:rFonts w:ascii="標楷體" w:eastAsia="標楷體" w:hAnsi="標楷體" w:cs="Arial" w:hint="eastAsia"/>
          <w:color w:val="000000"/>
          <w:kern w:val="0"/>
        </w:rPr>
        <w:t>、7月生產者物價指數；德國則有8月ZEW景氣判斷指數及韓國央行會議以及台灣第二季經濟成長率</w:t>
      </w:r>
      <w:r w:rsidR="00902833">
        <w:rPr>
          <w:rFonts w:ascii="標楷體" w:eastAsia="標楷體" w:hAnsi="標楷體" w:cs="Arial" w:hint="eastAsia"/>
          <w:color w:val="000000"/>
          <w:kern w:val="0"/>
        </w:rPr>
        <w:t>等</w:t>
      </w:r>
      <w:r w:rsidR="00AD0164">
        <w:rPr>
          <w:rFonts w:ascii="標楷體" w:eastAsia="標楷體" w:hAnsi="標楷體" w:cs="Arial" w:hint="eastAsia"/>
          <w:color w:val="000000"/>
          <w:kern w:val="0"/>
        </w:rPr>
        <w:t>重大數據</w:t>
      </w:r>
      <w:r w:rsidR="003127E7">
        <w:rPr>
          <w:rFonts w:ascii="標楷體" w:eastAsia="標楷體" w:hAnsi="標楷體" w:cs="Arial" w:hint="eastAsia"/>
          <w:color w:val="000000"/>
          <w:kern w:val="0"/>
        </w:rPr>
        <w:t>公布</w:t>
      </w:r>
      <w:r w:rsidR="00902833">
        <w:rPr>
          <w:rFonts w:ascii="標楷體" w:eastAsia="標楷體" w:hAnsi="標楷體" w:cs="Arial" w:hint="eastAsia"/>
          <w:color w:val="000000"/>
          <w:kern w:val="0"/>
        </w:rPr>
        <w:t>。</w:t>
      </w:r>
      <w:r w:rsidR="003127E7">
        <w:rPr>
          <w:rFonts w:ascii="標楷體" w:eastAsia="標楷體" w:hAnsi="標楷體" w:cs="Arial" w:hint="eastAsia"/>
          <w:color w:val="000000"/>
          <w:kern w:val="0"/>
        </w:rPr>
        <w:t>目前</w:t>
      </w:r>
      <w:r w:rsidR="00600F5C">
        <w:rPr>
          <w:rFonts w:ascii="標楷體" w:eastAsia="標楷體" w:hAnsi="標楷體" w:cs="Arial" w:hint="eastAsia"/>
          <w:color w:val="000000"/>
          <w:kern w:val="0"/>
        </w:rPr>
        <w:t>伊波拉</w:t>
      </w:r>
      <w:proofErr w:type="gramStart"/>
      <w:r w:rsidR="00600F5C">
        <w:rPr>
          <w:rFonts w:ascii="標楷體" w:eastAsia="標楷體" w:hAnsi="標楷體" w:cs="Arial" w:hint="eastAsia"/>
          <w:color w:val="000000"/>
          <w:kern w:val="0"/>
        </w:rPr>
        <w:t>疫</w:t>
      </w:r>
      <w:proofErr w:type="gramEnd"/>
      <w:r w:rsidR="00600F5C">
        <w:rPr>
          <w:rFonts w:ascii="標楷體" w:eastAsia="標楷體" w:hAnsi="標楷體" w:cs="Arial" w:hint="eastAsia"/>
          <w:color w:val="000000"/>
          <w:kern w:val="0"/>
        </w:rPr>
        <w:t>情不明，</w:t>
      </w:r>
      <w:r w:rsidR="003127E7">
        <w:rPr>
          <w:rFonts w:ascii="標楷體" w:eastAsia="標楷體" w:hAnsi="標楷體" w:cs="Arial" w:hint="eastAsia"/>
          <w:color w:val="000000"/>
          <w:kern w:val="0"/>
        </w:rPr>
        <w:t>地緣政治風險雖暫解，但是沒有解決的跡象</w:t>
      </w:r>
      <w:r w:rsidR="00FC6C81">
        <w:rPr>
          <w:rFonts w:ascii="標楷體" w:eastAsia="標楷體" w:hAnsi="標楷體" w:cs="Arial" w:hint="eastAsia"/>
          <w:color w:val="000000"/>
          <w:kern w:val="0"/>
        </w:rPr>
        <w:t>，</w:t>
      </w:r>
      <w:r w:rsidR="003127E7">
        <w:rPr>
          <w:rFonts w:ascii="標楷體" w:eastAsia="標楷體" w:hAnsi="標楷體" w:cs="Arial" w:hint="eastAsia"/>
          <w:color w:val="000000"/>
          <w:kern w:val="0"/>
        </w:rPr>
        <w:t>對後市的影響須著重在經濟制裁所引起的效應上。目前利率可能出現跌深反彈的跡象，</w:t>
      </w:r>
      <w:r w:rsidR="00600F5C">
        <w:rPr>
          <w:rFonts w:ascii="標楷體" w:eastAsia="標楷體" w:hAnsi="標楷體" w:cs="Arial" w:hint="eastAsia"/>
          <w:color w:val="000000"/>
          <w:kern w:val="0"/>
        </w:rPr>
        <w:t>地緣政治風險的影響可能減小，利率短線難創新低，但是經濟制裁的效果將陸續顯現，盤勢以盤跌看待。</w:t>
      </w:r>
      <w:r w:rsidR="00E60DEC">
        <w:rPr>
          <w:rFonts w:ascii="標楷體" w:eastAsia="標楷體" w:hAnsi="標楷體" w:cs="Arial" w:hint="eastAsia"/>
          <w:color w:val="000000"/>
          <w:kern w:val="0"/>
        </w:rPr>
        <w:t>台債利率</w:t>
      </w:r>
      <w:r w:rsidR="00600F5C">
        <w:rPr>
          <w:rFonts w:ascii="標楷體" w:eastAsia="標楷體" w:hAnsi="標楷體" w:cs="Arial" w:hint="eastAsia"/>
          <w:color w:val="000000"/>
          <w:kern w:val="0"/>
        </w:rPr>
        <w:t>目前的基本面有支撐，不過第二季經濟成長率公布時，仍有震盪</w:t>
      </w:r>
      <w:r w:rsidR="00A61A08">
        <w:rPr>
          <w:rFonts w:ascii="標楷體" w:eastAsia="標楷體" w:hAnsi="標楷體" w:cs="Arial" w:hint="eastAsia"/>
          <w:color w:val="000000"/>
          <w:kern w:val="0"/>
        </w:rPr>
        <w:t>。</w:t>
      </w:r>
      <w:r w:rsidR="00CF7CCC">
        <w:rPr>
          <w:rFonts w:ascii="標楷體" w:eastAsia="標楷體" w:hAnsi="標楷體" w:cs="Arial" w:hint="eastAsia"/>
          <w:color w:val="000000"/>
          <w:kern w:val="0"/>
        </w:rPr>
        <w:t>操作上，</w:t>
      </w:r>
      <w:proofErr w:type="gramStart"/>
      <w:r w:rsidR="00DC0632">
        <w:rPr>
          <w:rFonts w:ascii="標楷體" w:eastAsia="標楷體" w:hAnsi="標楷體" w:cs="Arial" w:hint="eastAsia"/>
          <w:color w:val="000000"/>
          <w:kern w:val="0"/>
        </w:rPr>
        <w:t>台債</w:t>
      </w:r>
      <w:proofErr w:type="gramEnd"/>
      <w:r w:rsidR="00DA75E0">
        <w:rPr>
          <w:rFonts w:ascii="標楷體" w:eastAsia="標楷體" w:hAnsi="標楷體" w:cs="Arial" w:hint="eastAsia"/>
          <w:color w:val="000000"/>
          <w:kern w:val="0"/>
        </w:rPr>
        <w:t>10y</w:t>
      </w:r>
      <w:r w:rsidR="00600F5C">
        <w:rPr>
          <w:rFonts w:ascii="標楷體" w:eastAsia="標楷體" w:hAnsi="標楷體" w:cs="Arial" w:hint="eastAsia"/>
          <w:color w:val="000000"/>
          <w:kern w:val="0"/>
        </w:rPr>
        <w:t>仍看</w:t>
      </w:r>
      <w:r w:rsidR="00A61A08">
        <w:rPr>
          <w:rFonts w:ascii="標楷體" w:eastAsia="標楷體" w:hAnsi="標楷體" w:cs="Arial" w:hint="eastAsia"/>
          <w:color w:val="000000"/>
          <w:kern w:val="0"/>
        </w:rPr>
        <w:t>1.55%</w:t>
      </w:r>
      <w:r w:rsidR="00AD0164">
        <w:rPr>
          <w:rFonts w:ascii="標楷體" w:eastAsia="標楷體" w:hAnsi="標楷體" w:cs="Arial" w:hint="eastAsia"/>
          <w:color w:val="000000"/>
          <w:kern w:val="0"/>
        </w:rPr>
        <w:t>~1.58%</w:t>
      </w:r>
      <w:r w:rsidR="00600F5C">
        <w:rPr>
          <w:rFonts w:ascii="標楷體" w:eastAsia="標楷體" w:hAnsi="標楷體" w:cs="Arial" w:hint="eastAsia"/>
          <w:color w:val="000000"/>
          <w:kern w:val="0"/>
        </w:rPr>
        <w:t>的</w:t>
      </w:r>
      <w:r w:rsidR="00A61A08">
        <w:rPr>
          <w:rFonts w:ascii="標楷體" w:eastAsia="標楷體" w:hAnsi="標楷體" w:cs="Arial" w:hint="eastAsia"/>
          <w:color w:val="000000"/>
          <w:kern w:val="0"/>
        </w:rPr>
        <w:t>壓力</w:t>
      </w:r>
      <w:r w:rsidR="00600F5C">
        <w:rPr>
          <w:rFonts w:ascii="標楷體" w:eastAsia="標楷體" w:hAnsi="標楷體" w:cs="Arial" w:hint="eastAsia"/>
          <w:color w:val="000000"/>
          <w:kern w:val="0"/>
        </w:rPr>
        <w:t>區</w:t>
      </w:r>
      <w:r w:rsidR="00600F5C">
        <w:rPr>
          <w:rFonts w:ascii="標楷體" w:eastAsia="標楷體" w:hAnsi="標楷體" w:cs="Arial" w:hint="eastAsia"/>
          <w:color w:val="000000"/>
          <w:kern w:val="0"/>
        </w:rPr>
        <w:lastRenderedPageBreak/>
        <w:t>能否有效突破</w:t>
      </w:r>
      <w:r w:rsidR="00E60DEC">
        <w:rPr>
          <w:rFonts w:ascii="標楷體" w:eastAsia="標楷體" w:hAnsi="標楷體" w:cs="Arial" w:hint="eastAsia"/>
          <w:color w:val="000000"/>
          <w:kern w:val="0"/>
        </w:rPr>
        <w:t>，</w:t>
      </w:r>
      <w:r w:rsidR="00DC0632">
        <w:rPr>
          <w:rFonts w:ascii="標楷體" w:eastAsia="標楷體" w:hAnsi="標楷體" w:cs="Arial" w:hint="eastAsia"/>
          <w:color w:val="000000"/>
          <w:kern w:val="0"/>
        </w:rPr>
        <w:t>利率走低時</w:t>
      </w:r>
      <w:r w:rsidR="00600F5C">
        <w:rPr>
          <w:rFonts w:ascii="標楷體" w:eastAsia="標楷體" w:hAnsi="標楷體" w:cs="Arial" w:hint="eastAsia"/>
          <w:color w:val="000000"/>
          <w:kern w:val="0"/>
        </w:rPr>
        <w:t>建議</w:t>
      </w:r>
      <w:r w:rsidR="00DC0632">
        <w:rPr>
          <w:rFonts w:ascii="標楷體" w:eastAsia="標楷體" w:hAnsi="標楷體" w:cs="Arial" w:hint="eastAsia"/>
          <w:color w:val="000000"/>
          <w:kern w:val="0"/>
        </w:rPr>
        <w:t>先行調節</w:t>
      </w:r>
      <w:r w:rsidR="00CF7CCC">
        <w:rPr>
          <w:rFonts w:ascii="標楷體" w:eastAsia="標楷體" w:hAnsi="標楷體" w:cs="Arial" w:hint="eastAsia"/>
          <w:color w:val="000000"/>
          <w:kern w:val="0"/>
        </w:rPr>
        <w:t>。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</w:t>
      </w:r>
      <w:r w:rsidR="00600F5C">
        <w:rPr>
          <w:rFonts w:ascii="標楷體" w:eastAsia="標楷體" w:hAnsi="標楷體" w:cs="Arial" w:hint="eastAsia"/>
          <w:color w:val="000000"/>
          <w:kern w:val="0"/>
        </w:rPr>
        <w:t>11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600F5C">
        <w:rPr>
          <w:rFonts w:ascii="標楷體" w:eastAsia="標楷體" w:hAnsi="標楷體" w:cs="Arial" w:hint="eastAsia"/>
          <w:color w:val="000000"/>
          <w:kern w:val="0"/>
        </w:rPr>
        <w:t>20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</w:t>
      </w:r>
      <w:r w:rsidR="00A61A08">
        <w:rPr>
          <w:rFonts w:ascii="標楷體" w:eastAsia="標楷體" w:hAnsi="標楷體" w:cs="Arial" w:hint="eastAsia"/>
          <w:color w:val="000000"/>
          <w:kern w:val="0"/>
        </w:rPr>
        <w:t>先看</w:t>
      </w:r>
      <w:r w:rsidR="001E7B6C">
        <w:rPr>
          <w:rFonts w:ascii="標楷體" w:eastAsia="標楷體" w:hAnsi="標楷體" w:cs="Arial" w:hint="eastAsia"/>
          <w:color w:val="000000"/>
          <w:kern w:val="0"/>
        </w:rPr>
        <w:t>1.</w:t>
      </w:r>
      <w:r w:rsidR="00600F5C">
        <w:rPr>
          <w:rFonts w:ascii="標楷體" w:eastAsia="標楷體" w:hAnsi="標楷體" w:cs="Arial" w:hint="eastAsia"/>
          <w:color w:val="000000"/>
          <w:kern w:val="0"/>
        </w:rPr>
        <w:t>55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600F5C">
        <w:rPr>
          <w:rFonts w:ascii="標楷體" w:eastAsia="標楷體" w:hAnsi="標楷體" w:cs="Arial" w:hint="eastAsia"/>
          <w:color w:val="000000"/>
          <w:kern w:val="0"/>
        </w:rPr>
        <w:t>61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1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3E6" w:rsidRPr="00E343E6">
          <w:rPr>
            <w:noProof/>
            <w:lang w:val="zh-TW"/>
          </w:rPr>
          <w:t>8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2EDF"/>
    <w:rsid w:val="00017C67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C12D6"/>
    <w:rsid w:val="001E6A2D"/>
    <w:rsid w:val="001E735C"/>
    <w:rsid w:val="001E7B6C"/>
    <w:rsid w:val="001F2D16"/>
    <w:rsid w:val="001F6120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D19F9"/>
    <w:rsid w:val="002D299F"/>
    <w:rsid w:val="002E1230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27E7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F5C"/>
    <w:rsid w:val="00606DD6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816EF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38BE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1625"/>
    <w:rsid w:val="007C20EB"/>
    <w:rsid w:val="007C3294"/>
    <w:rsid w:val="007D548E"/>
    <w:rsid w:val="007E14A5"/>
    <w:rsid w:val="007E1539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51F"/>
    <w:rsid w:val="008372C4"/>
    <w:rsid w:val="008410F5"/>
    <w:rsid w:val="00841277"/>
    <w:rsid w:val="00846AE5"/>
    <w:rsid w:val="00847E9C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5D67"/>
    <w:rsid w:val="00971E49"/>
    <w:rsid w:val="00974238"/>
    <w:rsid w:val="0097496F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08"/>
    <w:rsid w:val="00A61AE6"/>
    <w:rsid w:val="00A63945"/>
    <w:rsid w:val="00A6456A"/>
    <w:rsid w:val="00A657AC"/>
    <w:rsid w:val="00A66782"/>
    <w:rsid w:val="00A679FC"/>
    <w:rsid w:val="00A71B89"/>
    <w:rsid w:val="00A72F55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F06EB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412A"/>
    <w:rsid w:val="00B379FA"/>
    <w:rsid w:val="00B4495B"/>
    <w:rsid w:val="00B465BF"/>
    <w:rsid w:val="00B46B87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66AB"/>
    <w:rsid w:val="00BE7532"/>
    <w:rsid w:val="00BF3FB0"/>
    <w:rsid w:val="00BF4BF9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87A8D"/>
    <w:rsid w:val="00C905D1"/>
    <w:rsid w:val="00C9203A"/>
    <w:rsid w:val="00C92881"/>
    <w:rsid w:val="00CA0F93"/>
    <w:rsid w:val="00CA1E32"/>
    <w:rsid w:val="00CA34A4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441E0"/>
    <w:rsid w:val="00D50DED"/>
    <w:rsid w:val="00D516AF"/>
    <w:rsid w:val="00D52443"/>
    <w:rsid w:val="00D53EC1"/>
    <w:rsid w:val="00D62DCB"/>
    <w:rsid w:val="00D710F2"/>
    <w:rsid w:val="00D712C8"/>
    <w:rsid w:val="00D77F70"/>
    <w:rsid w:val="00D77F96"/>
    <w:rsid w:val="00D8551C"/>
    <w:rsid w:val="00D90764"/>
    <w:rsid w:val="00D92519"/>
    <w:rsid w:val="00D967DD"/>
    <w:rsid w:val="00D96846"/>
    <w:rsid w:val="00DA0F0D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7152"/>
    <w:rsid w:val="00E401B7"/>
    <w:rsid w:val="00E416A4"/>
    <w:rsid w:val="00E42B5D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704EF"/>
    <w:rsid w:val="00E712D8"/>
    <w:rsid w:val="00E72F68"/>
    <w:rsid w:val="00E732E4"/>
    <w:rsid w:val="00E747DE"/>
    <w:rsid w:val="00E83099"/>
    <w:rsid w:val="00E83125"/>
    <w:rsid w:val="00E91BAD"/>
    <w:rsid w:val="00E949D1"/>
    <w:rsid w:val="00EA3BE3"/>
    <w:rsid w:val="00EB196D"/>
    <w:rsid w:val="00EB3C15"/>
    <w:rsid w:val="00EB4DA6"/>
    <w:rsid w:val="00EC1F48"/>
    <w:rsid w:val="00EC35E7"/>
    <w:rsid w:val="00EC788F"/>
    <w:rsid w:val="00ED639C"/>
    <w:rsid w:val="00EE0FEF"/>
    <w:rsid w:val="00EE28F0"/>
    <w:rsid w:val="00EF15CC"/>
    <w:rsid w:val="00EF2C1B"/>
    <w:rsid w:val="00EF501F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9E3D-36C3-4EB0-BEFB-DF5AB7AF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144</Words>
  <Characters>824</Characters>
  <Application>Microsoft Office Word</Application>
  <DocSecurity>0</DocSecurity>
  <Lines>6</Lines>
  <Paragraphs>1</Paragraphs>
  <ScaleCrop>false</ScaleCrop>
  <Company>大中票券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43</cp:revision>
  <cp:lastPrinted>2014-07-28T06:35:00Z</cp:lastPrinted>
  <dcterms:created xsi:type="dcterms:W3CDTF">2014-04-23T05:31:00Z</dcterms:created>
  <dcterms:modified xsi:type="dcterms:W3CDTF">2014-08-11T02:40:00Z</dcterms:modified>
</cp:coreProperties>
</file>