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B9027B">
        <w:rPr>
          <w:rFonts w:ascii="標楷體" w:eastAsia="標楷體" w:hAnsi="標楷體" w:hint="eastAsia"/>
          <w:b/>
          <w:sz w:val="28"/>
          <w:szCs w:val="28"/>
        </w:rPr>
        <w:t xml:space="preserve">  2014/6/16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利率主要呈現反彈的走勢，非農就業新增人數連續4個月在20萬人以上，顯示美國經濟改善的基礎逐步穩固，ISM的製造業指數與服務業指數持續增長，雖然期間歐洲央行實施負利率政策，但美經濟增長的前景較佳，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市場氣氛重回到預期聯</w:t>
      </w:r>
      <w:proofErr w:type="gramStart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會何時升息的看法上，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帶動美債利率從今年來的低點反彈，上週末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10y利率收在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2.604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10y利率因10年期新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A03106R發行前交易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登場，5年</w:t>
      </w:r>
      <w:proofErr w:type="gramStart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A03109的發行前交易也隨後登場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空方有操作籌碼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加上美債利率反彈，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帶動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台債利率這兩</w:t>
      </w:r>
      <w:proofErr w:type="gramStart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以來上揚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上週五</w:t>
      </w:r>
      <w:r w:rsidR="00284C70">
        <w:rPr>
          <w:rFonts w:ascii="標楷體" w:eastAsia="標楷體" w:hAnsi="標楷體" w:cs="Arial" w:hint="eastAsia"/>
          <w:color w:val="000000"/>
          <w:kern w:val="0"/>
          <w:szCs w:val="24"/>
        </w:rPr>
        <w:t>A03106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R得標利率在1.553%，屬預估區間的上緣。周五收盤時，十年期利率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A03106R收在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1.552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5F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5F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E412824" wp14:editId="5C4B9E0A">
            <wp:extent cx="5607050" cy="4014831"/>
            <wp:effectExtent l="0" t="0" r="0" b="0"/>
            <wp:docPr id="2" name="圖片 2" descr="C:\Users\bloomberg\AppData\Local\Temp\Bloomberg\Temp\bfmB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B6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F1E5054" wp14:editId="0EF65D86">
            <wp:extent cx="5607050" cy="4014831"/>
            <wp:effectExtent l="0" t="0" r="0" b="0"/>
            <wp:docPr id="4" name="圖片 4" descr="C:\Users\bloomberg\AppData\Local\Temp\Bloomberg\Temp\bfm6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69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FF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FF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B1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B1E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Default="004525CC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4525CC">
        <w:rPr>
          <w:rFonts w:ascii="標楷體" w:eastAsia="標楷體" w:hAnsi="標楷體" w:hint="eastAsia"/>
          <w:b/>
          <w:sz w:val="26"/>
          <w:szCs w:val="26"/>
        </w:rPr>
        <w:t>美國供應管理協會全國製造業</w:t>
      </w:r>
      <w:r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9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991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1F2D16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4525CC">
        <w:rPr>
          <w:rFonts w:ascii="標楷體" w:eastAsia="標楷體" w:hAnsi="標楷體" w:hint="eastAsia"/>
          <w:b/>
          <w:sz w:val="26"/>
          <w:szCs w:val="26"/>
        </w:rPr>
        <w:t>美國供應管理協會全國</w:t>
      </w:r>
      <w:r>
        <w:rPr>
          <w:rFonts w:ascii="標楷體" w:eastAsia="標楷體" w:hAnsi="標楷體" w:hint="eastAsia"/>
          <w:b/>
          <w:sz w:val="26"/>
          <w:szCs w:val="26"/>
        </w:rPr>
        <w:t>服務</w:t>
      </w:r>
      <w:r w:rsidRPr="004525CC">
        <w:rPr>
          <w:rFonts w:ascii="標楷體" w:eastAsia="標楷體" w:hAnsi="標楷體" w:hint="eastAsia"/>
          <w:b/>
          <w:sz w:val="26"/>
          <w:szCs w:val="26"/>
        </w:rPr>
        <w:t>業</w:t>
      </w:r>
      <w:r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1F2D16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62375"/>
            <wp:effectExtent l="0" t="0" r="0" b="0"/>
            <wp:docPr id="10" name="圖片 10" descr="C:\Users\bloomberg\AppData\Local\Temp\Bloomberg\Temp\bfm3C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CC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r w:rsidR="001F2D16">
        <w:rPr>
          <w:rFonts w:ascii="標楷體" w:eastAsia="標楷體" w:hAnsi="標楷體" w:hint="eastAsia"/>
          <w:b/>
          <w:sz w:val="26"/>
          <w:szCs w:val="26"/>
        </w:rPr>
        <w:t>非農就業新增人數</w:t>
      </w:r>
    </w:p>
    <w:p w:rsidR="003E13F0" w:rsidRPr="00343709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2" name="圖片 12" descr="C:\Users\bloomberg\AppData\Local\Temp\Bloomberg\Temp\bfm99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999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台灣CPI</w:t>
      </w:r>
    </w:p>
    <w:p w:rsidR="00C92881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1" name="圖片 11" descr="C:\Users\bloomberg\AppData\Local\Temp\Bloomberg\Temp\bfm94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942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37" w:rsidRDefault="00C9288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92881">
        <w:rPr>
          <w:rFonts w:ascii="標楷體" w:eastAsia="標楷體" w:hAnsi="標楷體" w:hint="eastAsia"/>
          <w:b/>
          <w:sz w:val="26"/>
          <w:szCs w:val="26"/>
        </w:rPr>
        <w:lastRenderedPageBreak/>
        <w:t>台灣</w:t>
      </w:r>
      <w:proofErr w:type="spellStart"/>
      <w:r w:rsidR="001F2D16">
        <w:rPr>
          <w:rFonts w:ascii="標楷體" w:eastAsia="標楷體" w:hAnsi="標楷體" w:hint="eastAsia"/>
          <w:b/>
          <w:sz w:val="26"/>
          <w:szCs w:val="26"/>
        </w:rPr>
        <w:t>Markit</w:t>
      </w:r>
      <w:proofErr w:type="spellEnd"/>
      <w:r w:rsidR="001F2D16">
        <w:rPr>
          <w:rFonts w:ascii="標楷體" w:eastAsia="標楷體" w:hAnsi="標楷體" w:hint="eastAsia"/>
          <w:b/>
          <w:sz w:val="26"/>
          <w:szCs w:val="26"/>
        </w:rPr>
        <w:t xml:space="preserve"> 製造業指數</w:t>
      </w:r>
    </w:p>
    <w:p w:rsidR="00C92881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E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E68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C92881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proofErr w:type="gramStart"/>
      <w:r w:rsidRPr="00C92881">
        <w:rPr>
          <w:rFonts w:ascii="標楷體" w:eastAsia="標楷體" w:hAnsi="標楷體" w:hint="eastAsia"/>
          <w:b/>
          <w:sz w:val="26"/>
          <w:szCs w:val="26"/>
        </w:rPr>
        <w:t>台</w:t>
      </w:r>
      <w:r w:rsidR="00A71B89">
        <w:rPr>
          <w:rFonts w:ascii="標楷體" w:eastAsia="標楷體" w:hAnsi="標楷體" w:hint="eastAsia"/>
          <w:b/>
          <w:sz w:val="26"/>
          <w:szCs w:val="26"/>
        </w:rPr>
        <w:t>債每</w:t>
      </w:r>
      <w:proofErr w:type="gramEnd"/>
      <w:r w:rsidR="00A71B89">
        <w:rPr>
          <w:rFonts w:ascii="標楷體" w:eastAsia="標楷體" w:hAnsi="標楷體" w:hint="eastAsia"/>
          <w:b/>
          <w:sz w:val="26"/>
          <w:szCs w:val="26"/>
        </w:rPr>
        <w:t>季到期金額</w:t>
      </w:r>
    </w:p>
    <w:p w:rsidR="003E13F0" w:rsidRDefault="00A71B8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5CBD8C2C" wp14:editId="43C06CAF">
            <wp:extent cx="5607050" cy="3870083"/>
            <wp:effectExtent l="0" t="0" r="0" b="0"/>
            <wp:docPr id="1" name="圖片 1" descr="C:\Users\bloomberg\AppData\Local\Temp\Bloomberg\Temp\bfm6D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D1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16" w:rsidRDefault="001F2D16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Default="00012EDF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420" w:dyaOrig="12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1pt;height:627pt" o:ole="">
            <v:imagedata r:id="rId19" o:title=""/>
          </v:shape>
          <o:OLEObject Type="Embed" ProgID="Excel.Sheet.12" ShapeID="_x0000_i1043" DrawAspect="Content" ObjectID="_1464436117" r:id="rId20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FA0F4F" w:rsidRPr="007A2930" w:rsidRDefault="00904AE8" w:rsidP="00115520">
      <w:pPr>
        <w:widowControl/>
        <w:ind w:leftChars="50" w:left="120" w:firstLineChars="150" w:firstLine="3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有</w:t>
      </w:r>
      <w:r w:rsidR="00F85183">
        <w:rPr>
          <w:rFonts w:ascii="標楷體" w:eastAsia="標楷體" w:hAnsi="標楷體" w:cs="Arial" w:hint="eastAsia"/>
          <w:color w:val="000000"/>
          <w:kern w:val="0"/>
        </w:rPr>
        <w:t>美國CPI數據、房屋開工率；英國DPI及PPI數據</w:t>
      </w:r>
      <w:r w:rsidR="006C7C11">
        <w:rPr>
          <w:rFonts w:ascii="標楷體" w:eastAsia="標楷體" w:hAnsi="標楷體" w:cs="Arial" w:hint="eastAsia"/>
          <w:color w:val="000000"/>
          <w:kern w:val="0"/>
        </w:rPr>
        <w:t>；美國FOMC會議等。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美國經濟數據顯示出逐步改善的跡象，但距離貨幣政策回到正常化仍需較長的時間。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台灣</w:t>
      </w:r>
      <w:r w:rsidR="000C5C36">
        <w:rPr>
          <w:rFonts w:ascii="標楷體" w:eastAsia="標楷體" w:hAnsi="標楷體" w:cs="Arial" w:hint="eastAsia"/>
          <w:color w:val="000000"/>
          <w:kern w:val="0"/>
        </w:rPr>
        <w:t>近期公布的進出口數據，對經濟的貢獻不多，進口機械設備衰退仍須注意。台灣</w:t>
      </w:r>
      <w:r w:rsidR="00446433">
        <w:rPr>
          <w:rFonts w:ascii="標楷體" w:eastAsia="標楷體" w:hAnsi="標楷體" w:cs="Arial" w:hint="eastAsia"/>
          <w:color w:val="000000"/>
          <w:kern w:val="0"/>
        </w:rPr>
        <w:t>經濟尚無升息的基礎。</w:t>
      </w:r>
      <w:r w:rsidR="000C5C36">
        <w:rPr>
          <w:rFonts w:ascii="標楷體" w:eastAsia="標楷體" w:hAnsi="標楷體" w:cs="Arial" w:hint="eastAsia"/>
          <w:color w:val="000000"/>
          <w:kern w:val="0"/>
        </w:rPr>
        <w:t>技術面，美國10年債利率上漲至2.60%~2.70%附近，應有初步滿足點，也有逢高買盤。台債10年期利率反彈至A03106R標債後，1.55%~1.56%</w:t>
      </w:r>
      <w:r w:rsidR="00012EDF">
        <w:rPr>
          <w:rFonts w:ascii="標楷體" w:eastAsia="標楷體" w:hAnsi="標楷體" w:cs="Arial" w:hint="eastAsia"/>
          <w:color w:val="000000"/>
          <w:kern w:val="0"/>
        </w:rPr>
        <w:t>預估</w:t>
      </w:r>
      <w:bookmarkStart w:id="0" w:name="_GoBack"/>
      <w:bookmarkEnd w:id="0"/>
      <w:r w:rsidR="000C5C36">
        <w:rPr>
          <w:rFonts w:ascii="標楷體" w:eastAsia="標楷體" w:hAnsi="標楷體" w:cs="Arial" w:hint="eastAsia"/>
          <w:color w:val="000000"/>
          <w:kern w:val="0"/>
        </w:rPr>
        <w:t>也是相對支撐區。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台債10年</w:t>
      </w:r>
      <w:proofErr w:type="gramEnd"/>
      <w:r w:rsidR="00DC0632">
        <w:rPr>
          <w:rFonts w:ascii="標楷體" w:eastAsia="標楷體" w:hAnsi="標楷體" w:cs="Arial" w:hint="eastAsia"/>
          <w:color w:val="000000"/>
          <w:kern w:val="0"/>
        </w:rPr>
        <w:t>期利率低點約在1.47%</w:t>
      </w:r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因此利率走低時宜先行調節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DC0632">
        <w:rPr>
          <w:rFonts w:ascii="標楷體" w:eastAsia="標楷體" w:hAnsi="標楷體" w:cs="Arial" w:hint="eastAsia"/>
          <w:color w:val="000000"/>
          <w:kern w:val="0"/>
        </w:rPr>
        <w:t>05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DC0632">
        <w:rPr>
          <w:rFonts w:ascii="標楷體" w:eastAsia="標楷體" w:hAnsi="標楷體" w:cs="Arial" w:hint="eastAsia"/>
          <w:color w:val="000000"/>
          <w:kern w:val="0"/>
        </w:rPr>
        <w:t>11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預測區間在1.</w:t>
      </w:r>
      <w:r w:rsidR="00DC0632">
        <w:rPr>
          <w:rFonts w:ascii="標楷體" w:eastAsia="標楷體" w:hAnsi="標楷體" w:cs="Arial" w:hint="eastAsia"/>
          <w:color w:val="000000"/>
          <w:kern w:val="0"/>
        </w:rPr>
        <w:t>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DC0632">
        <w:rPr>
          <w:rFonts w:ascii="標楷體" w:eastAsia="標楷體" w:hAnsi="標楷體" w:cs="Arial" w:hint="eastAsia"/>
          <w:color w:val="000000"/>
          <w:kern w:val="0"/>
        </w:rPr>
        <w:t>56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7A2930" w:rsidSect="005332BF">
      <w:footerReference w:type="default" r:id="rId21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DF" w:rsidRPr="00012EDF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A67"/>
    <w:rsid w:val="00422055"/>
    <w:rsid w:val="00433B68"/>
    <w:rsid w:val="004357FC"/>
    <w:rsid w:val="00437D47"/>
    <w:rsid w:val="00441499"/>
    <w:rsid w:val="00441592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A60E-9CB9-40CF-A3F4-DD9DF2E3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134</Words>
  <Characters>764</Characters>
  <Application>Microsoft Office Word</Application>
  <DocSecurity>0</DocSecurity>
  <Lines>6</Lines>
  <Paragraphs>1</Paragraphs>
  <ScaleCrop>false</ScaleCrop>
  <Company>大中票券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24</cp:revision>
  <cp:lastPrinted>2014-06-03T03:21:00Z</cp:lastPrinted>
  <dcterms:created xsi:type="dcterms:W3CDTF">2014-04-23T05:31:00Z</dcterms:created>
  <dcterms:modified xsi:type="dcterms:W3CDTF">2014-06-16T07:02:00Z</dcterms:modified>
</cp:coreProperties>
</file>