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350A00">
        <w:rPr>
          <w:rFonts w:ascii="標楷體" w:eastAsia="標楷體" w:hAnsi="標楷體" w:hint="eastAsia"/>
          <w:b/>
          <w:sz w:val="28"/>
          <w:szCs w:val="28"/>
        </w:rPr>
        <w:t xml:space="preserve">  2014/6/3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利率上週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在月底機構買盤支撐及德國失業數據欠佳的影響下</w:t>
      </w:r>
      <w:r w:rsidR="00397545">
        <w:rPr>
          <w:rFonts w:ascii="標楷體" w:eastAsia="標楷體" w:hAnsi="標楷體" w:cs="Arial" w:hint="eastAsia"/>
          <w:color w:val="000000"/>
          <w:kern w:val="0"/>
          <w:szCs w:val="24"/>
        </w:rPr>
        <w:t>，增強市場對6月初歐洲央行降息的預期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397545">
        <w:rPr>
          <w:rFonts w:ascii="標楷體" w:eastAsia="標楷體" w:hAnsi="標楷體" w:cs="Arial" w:hint="eastAsia"/>
          <w:color w:val="000000"/>
          <w:kern w:val="0"/>
          <w:szCs w:val="24"/>
        </w:rPr>
        <w:t>因此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5/28利率大跌，創近期新低，收在2.445%，但隨後數天，因ISM製造業指數較佳，以及利率跌深獲利了結賣盤，逐步推高利率脫離谷底，月底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10y利率收在2.48%。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10y利率先前曾跌至1.463%低點，後因10年期新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A03106R即將發行前交易，利率從底部反彈</w:t>
      </w:r>
      <w:r w:rsidR="00313893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5/29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隨美債利率大跌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而測低點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，但未過前低，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A03106R發行前交易上場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後，空方有操作籌碼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帶動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利率反彈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84C70">
        <w:rPr>
          <w:rFonts w:ascii="標楷體" w:eastAsia="標楷體" w:hAnsi="標楷體" w:cs="Arial" w:hint="eastAsia"/>
          <w:color w:val="000000"/>
          <w:kern w:val="0"/>
          <w:szCs w:val="24"/>
        </w:rPr>
        <w:t>A03106上週收在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1.5035</w:t>
      </w:r>
      <w:r w:rsidR="00284C70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2464F1"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A03106R收在1.506%。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 w:hint="eastAsia"/>
          <w:b/>
          <w:sz w:val="26"/>
          <w:szCs w:val="26"/>
        </w:rPr>
      </w:pPr>
    </w:p>
    <w:p w:rsidR="003E13F0" w:rsidRDefault="0041787D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3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348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AF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AFD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99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99C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9" cy="3905250"/>
            <wp:effectExtent l="0" t="0" r="0" b="0"/>
            <wp:docPr id="10" name="圖片 10" descr="C:\Users\bloomberg\AppData\Local\Temp\Bloomberg\Temp\bfm3B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3B7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72099" cy="3943350"/>
            <wp:effectExtent l="0" t="0" r="0" b="0"/>
            <wp:docPr id="11" name="圖片 11" descr="C:\Users\bloomberg\AppData\Local\Temp\Bloomberg\Temp\bfmEF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EF5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38" cy="39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C9288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0000"/>
            <wp:effectExtent l="0" t="0" r="0" b="0"/>
            <wp:docPr id="3" name="圖片 3" descr="C:\Users\bloomberg\AppData\Local\Temp\Bloomberg\Temp\bfm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6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耐久財新訂單</w:t>
      </w:r>
      <w:proofErr w:type="gramEnd"/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5B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美國實質GDP </w:t>
      </w:r>
      <w:proofErr w:type="gramStart"/>
      <w:r w:rsidRPr="00C9288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C92881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3E13F0" w:rsidRPr="00343709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91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91C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94EE3">
        <w:rPr>
          <w:rFonts w:ascii="標楷體" w:eastAsia="標楷體" w:hAnsi="標楷體" w:hint="eastAsia"/>
          <w:b/>
          <w:sz w:val="26"/>
          <w:szCs w:val="26"/>
        </w:rPr>
        <w:t>美國供應管理協會全國製造業</w:t>
      </w:r>
    </w:p>
    <w:p w:rsidR="00C92881" w:rsidRDefault="00794EE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1DF20682" wp14:editId="1F1357CE">
            <wp:extent cx="5607050" cy="4014831"/>
            <wp:effectExtent l="0" t="0" r="0" b="0"/>
            <wp:docPr id="6" name="圖片 6" descr="C:\Users\bloomberg\AppData\Local\Temp\Bloomberg\Temp\bfmA8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A8A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37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lastRenderedPageBreak/>
        <w:t>台灣商業銷售(年比)</w:t>
      </w:r>
    </w:p>
    <w:p w:rsidR="00C92881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E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ECB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F5E5216" wp14:editId="63FA48A8">
            <wp:extent cx="5607050" cy="4014831"/>
            <wp:effectExtent l="0" t="0" r="0" b="0"/>
            <wp:docPr id="1" name="圖片 1" descr="C:\Users\bloomberg\AppData\Local\Temp\Bloomberg\Temp\bfmC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38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Default="0011552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704" w:dyaOrig="1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478.5pt" o:ole="">
            <v:imagedata r:id="rId19" o:title=""/>
          </v:shape>
          <o:OLEObject Type="Embed" ProgID="Excel.Sheet.12" ShapeID="_x0000_i1025" DrawAspect="Content" ObjectID="_1463310843" r:id="rId20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7A2930" w:rsidRDefault="00904AE8" w:rsidP="00115520">
      <w:pPr>
        <w:widowControl/>
        <w:ind w:leftChars="50" w:left="120" w:firstLineChars="150" w:firstLine="3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有</w:t>
      </w:r>
      <w:r w:rsidR="00397545">
        <w:rPr>
          <w:rFonts w:ascii="標楷體" w:eastAsia="標楷體" w:hAnsi="標楷體" w:cs="Arial" w:hint="eastAsia"/>
          <w:color w:val="000000"/>
          <w:kern w:val="0"/>
        </w:rPr>
        <w:t>歐洲央行的會議，中國及歐美國家的服務業PMI</w:t>
      </w:r>
      <w:r w:rsidR="00284C70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397545">
        <w:rPr>
          <w:rFonts w:ascii="標楷體" w:eastAsia="標楷體" w:hAnsi="標楷體" w:cs="Arial" w:hint="eastAsia"/>
          <w:color w:val="000000"/>
          <w:kern w:val="0"/>
        </w:rPr>
        <w:t>另外台債有</w:t>
      </w:r>
      <w:proofErr w:type="gramEnd"/>
      <w:r w:rsidR="00397545">
        <w:rPr>
          <w:rFonts w:ascii="標楷體" w:eastAsia="標楷體" w:hAnsi="標楷體" w:cs="Arial" w:hint="eastAsia"/>
          <w:color w:val="000000"/>
          <w:kern w:val="0"/>
        </w:rPr>
        <w:t>A03109的五年</w:t>
      </w:r>
      <w:proofErr w:type="gramStart"/>
      <w:r w:rsidR="00397545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397545">
        <w:rPr>
          <w:rFonts w:ascii="標楷體" w:eastAsia="標楷體" w:hAnsi="標楷體" w:cs="Arial" w:hint="eastAsia"/>
          <w:color w:val="000000"/>
          <w:kern w:val="0"/>
        </w:rPr>
        <w:t>發行前交易在週五登場。就</w:t>
      </w:r>
      <w:r w:rsidR="00284C70">
        <w:rPr>
          <w:rFonts w:ascii="標楷體" w:eastAsia="標楷體" w:hAnsi="標楷體" w:cs="Arial" w:hint="eastAsia"/>
          <w:color w:val="000000"/>
          <w:kern w:val="0"/>
        </w:rPr>
        <w:t>目前走勢而言，在美債10y利率</w:t>
      </w:r>
      <w:r w:rsidR="00397545">
        <w:rPr>
          <w:rFonts w:ascii="標楷體" w:eastAsia="標楷體" w:hAnsi="標楷體" w:cs="Arial" w:hint="eastAsia"/>
          <w:color w:val="000000"/>
          <w:kern w:val="0"/>
        </w:rPr>
        <w:t>走勢呈現下降通道，近期</w:t>
      </w:r>
      <w:r w:rsidR="00284C70">
        <w:rPr>
          <w:rFonts w:ascii="標楷體" w:eastAsia="標楷體" w:hAnsi="標楷體" w:cs="Arial" w:hint="eastAsia"/>
          <w:color w:val="000000"/>
          <w:kern w:val="0"/>
        </w:rPr>
        <w:t>反彈</w:t>
      </w:r>
      <w:r w:rsidR="00397545">
        <w:rPr>
          <w:rFonts w:ascii="標楷體" w:eastAsia="標楷體" w:hAnsi="標楷體" w:cs="Arial" w:hint="eastAsia"/>
          <w:color w:val="000000"/>
          <w:kern w:val="0"/>
        </w:rPr>
        <w:t>到通道的上緣附近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397545">
        <w:rPr>
          <w:rFonts w:ascii="標楷體" w:eastAsia="標楷體" w:hAnsi="標楷體" w:cs="Arial" w:hint="eastAsia"/>
          <w:color w:val="000000"/>
          <w:kern w:val="0"/>
        </w:rPr>
        <w:t>預估經濟數據的結果尚佳，ECB會議決策多已被預期，兼</w:t>
      </w:r>
      <w:proofErr w:type="gramStart"/>
      <w:r w:rsidR="00397545">
        <w:rPr>
          <w:rFonts w:ascii="標楷體" w:eastAsia="標楷體" w:hAnsi="標楷體" w:cs="Arial" w:hint="eastAsia"/>
          <w:color w:val="000000"/>
          <w:kern w:val="0"/>
        </w:rPr>
        <w:t>以</w:t>
      </w:r>
      <w:r w:rsidR="00284C70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10y利率</w:t>
      </w:r>
      <w:r w:rsidR="00156248">
        <w:rPr>
          <w:rFonts w:ascii="標楷體" w:eastAsia="標楷體" w:hAnsi="標楷體" w:cs="Arial" w:hint="eastAsia"/>
          <w:color w:val="000000"/>
          <w:kern w:val="0"/>
        </w:rPr>
        <w:t>上週</w:t>
      </w:r>
      <w:r w:rsidR="00397545">
        <w:rPr>
          <w:rFonts w:ascii="標楷體" w:eastAsia="標楷體" w:hAnsi="標楷體" w:cs="Arial" w:hint="eastAsia"/>
          <w:color w:val="000000"/>
          <w:kern w:val="0"/>
        </w:rPr>
        <w:t>未能再創新低，加上近期美債利率反彈，新</w:t>
      </w:r>
      <w:proofErr w:type="gramStart"/>
      <w:r w:rsidR="00397545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397545">
        <w:rPr>
          <w:rFonts w:ascii="標楷體" w:eastAsia="標楷體" w:hAnsi="標楷體" w:cs="Arial" w:hint="eastAsia"/>
          <w:color w:val="000000"/>
          <w:kern w:val="0"/>
        </w:rPr>
        <w:t>發行前交易上場的情況下，</w:t>
      </w:r>
      <w:proofErr w:type="gramStart"/>
      <w:r w:rsidR="00397545">
        <w:rPr>
          <w:rFonts w:ascii="標楷體" w:eastAsia="標楷體" w:hAnsi="標楷體" w:cs="Arial" w:hint="eastAsia"/>
          <w:color w:val="000000"/>
          <w:kern w:val="0"/>
        </w:rPr>
        <w:t>短線台債底部</w:t>
      </w:r>
      <w:proofErr w:type="gramEnd"/>
      <w:r w:rsidR="00397545">
        <w:rPr>
          <w:rFonts w:ascii="標楷體" w:eastAsia="標楷體" w:hAnsi="標楷體" w:cs="Arial" w:hint="eastAsia"/>
          <w:color w:val="000000"/>
          <w:kern w:val="0"/>
        </w:rPr>
        <w:t>浮現</w:t>
      </w:r>
      <w:r w:rsidR="005D55D4">
        <w:rPr>
          <w:rFonts w:ascii="標楷體" w:eastAsia="標楷體" w:hAnsi="標楷體" w:cs="Arial" w:hint="eastAsia"/>
          <w:color w:val="000000"/>
          <w:kern w:val="0"/>
        </w:rPr>
        <w:t>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基本面方面，台灣經濟尚無升息的基礎，但短期將受新</w:t>
      </w:r>
      <w:proofErr w:type="gramStart"/>
      <w:r w:rsidR="0044643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446433">
        <w:rPr>
          <w:rFonts w:ascii="標楷體" w:eastAsia="標楷體" w:hAnsi="標楷體" w:cs="Arial" w:hint="eastAsia"/>
          <w:color w:val="000000"/>
          <w:kern w:val="0"/>
        </w:rPr>
        <w:t>籌碼影響，利率較不易下跌，利率區間上移。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操作上，利率逢高</w:t>
      </w:r>
      <w:r w:rsidR="00446433">
        <w:rPr>
          <w:rFonts w:ascii="標楷體" w:eastAsia="標楷體" w:hAnsi="標楷體" w:cs="Arial" w:hint="eastAsia"/>
          <w:color w:val="000000"/>
          <w:kern w:val="0"/>
        </w:rPr>
        <w:t>仍</w:t>
      </w:r>
      <w:r w:rsidR="00FE7425">
        <w:rPr>
          <w:rFonts w:ascii="標楷體" w:eastAsia="標楷體" w:hAnsi="標楷體" w:cs="Arial" w:hint="eastAsia"/>
          <w:color w:val="000000"/>
          <w:kern w:val="0"/>
        </w:rPr>
        <w:t>建議</w:t>
      </w:r>
      <w:r w:rsidR="00446433">
        <w:rPr>
          <w:rFonts w:ascii="標楷體" w:eastAsia="標楷體" w:hAnsi="標楷體" w:cs="Arial" w:hint="eastAsia"/>
          <w:color w:val="000000"/>
          <w:kern w:val="0"/>
        </w:rPr>
        <w:t>酌量</w:t>
      </w:r>
      <w:r w:rsidR="00FE7425">
        <w:rPr>
          <w:rFonts w:ascii="標楷體" w:eastAsia="標楷體" w:hAnsi="標楷體" w:cs="Arial" w:hint="eastAsia"/>
          <w:color w:val="000000"/>
          <w:kern w:val="0"/>
        </w:rPr>
        <w:t>偏多操作</w:t>
      </w:r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走低時調節。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1.0</w:t>
      </w:r>
      <w:r w:rsidR="00CF7CCC">
        <w:rPr>
          <w:rFonts w:ascii="標楷體" w:eastAsia="標楷體" w:hAnsi="標楷體" w:cs="Arial" w:hint="eastAsia"/>
          <w:color w:val="000000"/>
          <w:kern w:val="0"/>
        </w:rPr>
        <w:t>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446433">
        <w:rPr>
          <w:rFonts w:ascii="標楷體" w:eastAsia="標楷體" w:hAnsi="標楷體" w:cs="Arial" w:hint="eastAsia"/>
          <w:color w:val="000000"/>
          <w:kern w:val="0"/>
        </w:rPr>
        <w:t>06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預測區間在1.</w:t>
      </w:r>
      <w:r w:rsidR="00446433">
        <w:rPr>
          <w:rFonts w:ascii="標楷體" w:eastAsia="標楷體" w:hAnsi="標楷體" w:cs="Arial" w:hint="eastAsia"/>
          <w:color w:val="000000"/>
          <w:kern w:val="0"/>
        </w:rPr>
        <w:t>47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446433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  <w:bookmarkStart w:id="0" w:name="_GoBack"/>
      <w:bookmarkEnd w:id="0"/>
    </w:p>
    <w:sectPr w:rsidR="00FA0F4F" w:rsidRPr="007A2930" w:rsidSect="005332BF">
      <w:footerReference w:type="default" r:id="rId21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20" w:rsidRPr="00115520">
          <w:rPr>
            <w:noProof/>
            <w:lang w:val="zh-TW"/>
          </w:rPr>
          <w:t>1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A67"/>
    <w:rsid w:val="00422055"/>
    <w:rsid w:val="00433B68"/>
    <w:rsid w:val="004357FC"/>
    <w:rsid w:val="00437D47"/>
    <w:rsid w:val="00441499"/>
    <w:rsid w:val="00441592"/>
    <w:rsid w:val="004446B1"/>
    <w:rsid w:val="00446433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DBFF-8099-401D-9789-CFC0122E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128</Words>
  <Characters>735</Characters>
  <Application>Microsoft Office Word</Application>
  <DocSecurity>0</DocSecurity>
  <Lines>6</Lines>
  <Paragraphs>1</Paragraphs>
  <ScaleCrop>false</ScaleCrop>
  <Company>大中票券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19</cp:revision>
  <cp:lastPrinted>2014-06-03T03:21:00Z</cp:lastPrinted>
  <dcterms:created xsi:type="dcterms:W3CDTF">2014-04-23T05:31:00Z</dcterms:created>
  <dcterms:modified xsi:type="dcterms:W3CDTF">2014-06-03T06:28:00Z</dcterms:modified>
</cp:coreProperties>
</file>