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2" w:rsidRDefault="006E1A72" w:rsidP="006E1A72">
      <w:pPr>
        <w:pStyle w:val="a3"/>
        <w:numPr>
          <w:ilvl w:val="0"/>
          <w:numId w:val="1"/>
        </w:numPr>
        <w:ind w:leftChars="0"/>
      </w:pPr>
      <w:r w:rsidRPr="006E1A72">
        <w:t>上週市場行情資訊分析：</w:t>
      </w:r>
      <w:r w:rsidRPr="006E1A72">
        <w:br/>
      </w:r>
      <w:r w:rsidRPr="006E1A72">
        <w:rPr>
          <w:rFonts w:hint="eastAsia"/>
        </w:rPr>
        <w:t>上週寬鬆因素為央行存單屆期共</w:t>
      </w:r>
      <w:r w:rsidRPr="006E1A72">
        <w:rPr>
          <w:rFonts w:hint="eastAsia"/>
        </w:rPr>
        <w:t>9,773.2</w:t>
      </w:r>
      <w:r w:rsidRPr="006E1A72">
        <w:rPr>
          <w:rFonts w:hint="eastAsia"/>
        </w:rPr>
        <w:t>億元，緊縮因素為公債交割</w:t>
      </w:r>
      <w:r w:rsidRPr="006E1A72">
        <w:rPr>
          <w:rFonts w:hint="eastAsia"/>
        </w:rPr>
        <w:t>300</w:t>
      </w:r>
      <w:r w:rsidRPr="006E1A72">
        <w:rPr>
          <w:rFonts w:hint="eastAsia"/>
        </w:rPr>
        <w:t>億元及央行例行性沖銷。</w:t>
      </w:r>
      <w:proofErr w:type="gramStart"/>
      <w:r w:rsidRPr="006E1A72">
        <w:rPr>
          <w:rFonts w:hint="eastAsia"/>
        </w:rPr>
        <w:t>月初雖適逢新舊提存</w:t>
      </w:r>
      <w:proofErr w:type="gramEnd"/>
      <w:r w:rsidRPr="006E1A72">
        <w:rPr>
          <w:rFonts w:hint="eastAsia"/>
        </w:rPr>
        <w:t>期交替，惟因銀行累計準備部位在上半</w:t>
      </w:r>
      <w:proofErr w:type="gramStart"/>
      <w:r w:rsidRPr="006E1A72">
        <w:rPr>
          <w:rFonts w:hint="eastAsia"/>
        </w:rPr>
        <w:t>週</w:t>
      </w:r>
      <w:proofErr w:type="gramEnd"/>
      <w:r w:rsidRPr="006E1A72">
        <w:rPr>
          <w:rFonts w:hint="eastAsia"/>
        </w:rPr>
        <w:t>提存</w:t>
      </w:r>
      <w:proofErr w:type="gramStart"/>
      <w:r w:rsidRPr="006E1A72">
        <w:rPr>
          <w:rFonts w:hint="eastAsia"/>
        </w:rPr>
        <w:t>期底創今年</w:t>
      </w:r>
      <w:proofErr w:type="gramEnd"/>
      <w:r w:rsidRPr="006E1A72">
        <w:rPr>
          <w:rFonts w:hint="eastAsia"/>
        </w:rPr>
        <w:t>新高效應下，銀行</w:t>
      </w:r>
      <w:proofErr w:type="gramStart"/>
      <w:r w:rsidRPr="006E1A72">
        <w:rPr>
          <w:rFonts w:hint="eastAsia"/>
        </w:rPr>
        <w:t>買票及拆款</w:t>
      </w:r>
      <w:proofErr w:type="gramEnd"/>
      <w:r w:rsidRPr="006E1A72">
        <w:rPr>
          <w:rFonts w:hint="eastAsia"/>
        </w:rPr>
        <w:t>意願高，月內到期之票</w:t>
      </w:r>
      <w:proofErr w:type="gramStart"/>
      <w:r w:rsidRPr="006E1A72">
        <w:rPr>
          <w:rFonts w:hint="eastAsia"/>
        </w:rPr>
        <w:t>券</w:t>
      </w:r>
      <w:proofErr w:type="gramEnd"/>
      <w:r w:rsidRPr="006E1A72">
        <w:rPr>
          <w:rFonts w:hint="eastAsia"/>
        </w:rPr>
        <w:t>次級利率主要成交於</w:t>
      </w:r>
      <w:r w:rsidRPr="006E1A72">
        <w:rPr>
          <w:rFonts w:hint="eastAsia"/>
        </w:rPr>
        <w:t>0.56%~0.6</w:t>
      </w:r>
      <w:r>
        <w:rPr>
          <w:rFonts w:hint="eastAsia"/>
        </w:rPr>
        <w:t>1</w:t>
      </w:r>
      <w:r w:rsidRPr="006E1A72">
        <w:rPr>
          <w:rFonts w:hint="eastAsia"/>
        </w:rPr>
        <w:t>%</w:t>
      </w:r>
      <w:r w:rsidRPr="006E1A72">
        <w:rPr>
          <w:rFonts w:hint="eastAsia"/>
        </w:rPr>
        <w:t>，隔夜拆款利率落在</w:t>
      </w:r>
      <w:r w:rsidRPr="006E1A72">
        <w:rPr>
          <w:rFonts w:hint="eastAsia"/>
        </w:rPr>
        <w:t>0.295%~0.42%</w:t>
      </w:r>
      <w:r w:rsidRPr="006E1A72">
        <w:rPr>
          <w:rFonts w:hint="eastAsia"/>
        </w:rPr>
        <w:t>。週五標售</w:t>
      </w:r>
      <w:r w:rsidRPr="006E1A72">
        <w:rPr>
          <w:rFonts w:hint="eastAsia"/>
        </w:rPr>
        <w:t>364</w:t>
      </w:r>
      <w:r w:rsidRPr="006E1A72">
        <w:rPr>
          <w:rFonts w:hint="eastAsia"/>
        </w:rPr>
        <w:t>天期央行定存單金額</w:t>
      </w:r>
      <w:r w:rsidRPr="006E1A72">
        <w:rPr>
          <w:rFonts w:hint="eastAsia"/>
        </w:rPr>
        <w:t>1,200</w:t>
      </w:r>
      <w:r w:rsidRPr="006E1A72">
        <w:rPr>
          <w:rFonts w:hint="eastAsia"/>
        </w:rPr>
        <w:t>億元，平均得標利率為</w:t>
      </w:r>
      <w:r w:rsidRPr="006E1A72">
        <w:rPr>
          <w:rFonts w:hint="eastAsia"/>
        </w:rPr>
        <w:t>0.598%</w:t>
      </w:r>
      <w:r w:rsidRPr="006E1A72">
        <w:rPr>
          <w:rFonts w:hint="eastAsia"/>
        </w:rPr>
        <w:t>，較前次下跌</w:t>
      </w:r>
      <w:r w:rsidRPr="006E1A72">
        <w:rPr>
          <w:rFonts w:hint="eastAsia"/>
        </w:rPr>
        <w:t>3.1bp</w:t>
      </w:r>
      <w:r w:rsidRPr="006E1A72">
        <w:rPr>
          <w:rFonts w:hint="eastAsia"/>
        </w:rPr>
        <w:t>，顯示近期市場資金寬鬆。</w:t>
      </w:r>
    </w:p>
    <w:p w:rsidR="006E1A72" w:rsidRDefault="006E1A72" w:rsidP="006E1A72">
      <w:pPr>
        <w:pStyle w:val="a3"/>
        <w:numPr>
          <w:ilvl w:val="0"/>
          <w:numId w:val="1"/>
        </w:numPr>
        <w:ind w:leftChars="0"/>
      </w:pPr>
      <w:r w:rsidRPr="006E1A72">
        <w:rPr>
          <w:rFonts w:hint="eastAsia"/>
        </w:rPr>
        <w:t>匯率方面，國際油價續跌加上預期歐洲央行將擴大寬鬆措施，帶動美元指數再創近</w:t>
      </w:r>
      <w:r w:rsidRPr="006E1A72">
        <w:rPr>
          <w:rFonts w:hint="eastAsia"/>
        </w:rPr>
        <w:t>5</w:t>
      </w:r>
      <w:r w:rsidRPr="006E1A72">
        <w:rPr>
          <w:rFonts w:hint="eastAsia"/>
        </w:rPr>
        <w:t>年新高，日圓匯率則因穆迪調降日本主權債務信評再度走貶觸及</w:t>
      </w:r>
      <w:r w:rsidRPr="006E1A72">
        <w:rPr>
          <w:rFonts w:hint="eastAsia"/>
        </w:rPr>
        <w:t>7</w:t>
      </w:r>
      <w:r w:rsidRPr="006E1A72">
        <w:rPr>
          <w:rFonts w:hint="eastAsia"/>
        </w:rPr>
        <w:t>年新低，新台幣受外資匯出</w:t>
      </w:r>
      <w:proofErr w:type="gramStart"/>
      <w:r w:rsidRPr="006E1A72">
        <w:rPr>
          <w:rFonts w:hint="eastAsia"/>
        </w:rPr>
        <w:t>及亞幣走</w:t>
      </w:r>
      <w:proofErr w:type="gramEnd"/>
      <w:r w:rsidRPr="006E1A72">
        <w:rPr>
          <w:rFonts w:hint="eastAsia"/>
        </w:rPr>
        <w:t>弱影響，延續貶值走勢，成交區間落在</w:t>
      </w:r>
      <w:r w:rsidRPr="006E1A72">
        <w:rPr>
          <w:rFonts w:hint="eastAsia"/>
        </w:rPr>
        <w:t>31.0~31.1</w:t>
      </w:r>
      <w:r w:rsidRPr="006E1A72">
        <w:rPr>
          <w:rFonts w:hint="eastAsia"/>
        </w:rPr>
        <w:t>。</w:t>
      </w:r>
    </w:p>
    <w:p w:rsidR="006E1A72" w:rsidRDefault="006E1A72" w:rsidP="006E1A72">
      <w:pPr>
        <w:pStyle w:val="a3"/>
        <w:numPr>
          <w:ilvl w:val="0"/>
          <w:numId w:val="1"/>
        </w:numPr>
        <w:ind w:leftChars="0"/>
      </w:pPr>
      <w:r w:rsidRPr="006E1A72">
        <w:rPr>
          <w:rFonts w:hint="eastAsia"/>
        </w:rPr>
        <w:t>本</w:t>
      </w:r>
      <w:proofErr w:type="gramStart"/>
      <w:r w:rsidRPr="006E1A72">
        <w:rPr>
          <w:rFonts w:hint="eastAsia"/>
        </w:rPr>
        <w:t>週</w:t>
      </w:r>
      <w:proofErr w:type="gramEnd"/>
      <w:r w:rsidRPr="006E1A72">
        <w:rPr>
          <w:rFonts w:hint="eastAsia"/>
        </w:rPr>
        <w:t>寬鬆因素為央行存單屆期共</w:t>
      </w:r>
      <w:r w:rsidRPr="006E1A72">
        <w:rPr>
          <w:rFonts w:hint="eastAsia"/>
        </w:rPr>
        <w:t>1</w:t>
      </w:r>
      <w:r w:rsidRPr="006E1A72">
        <w:rPr>
          <w:rFonts w:hint="eastAsia"/>
        </w:rPr>
        <w:t>兆</w:t>
      </w:r>
      <w:r w:rsidRPr="006E1A72">
        <w:rPr>
          <w:rFonts w:hint="eastAsia"/>
        </w:rPr>
        <w:t>8,212.1</w:t>
      </w:r>
      <w:r w:rsidRPr="006E1A72">
        <w:rPr>
          <w:rFonts w:hint="eastAsia"/>
        </w:rPr>
        <w:t>億元，緊縮因素為</w:t>
      </w:r>
      <w:r w:rsidRPr="006E1A72">
        <w:rPr>
          <w:rFonts w:hint="eastAsia"/>
        </w:rPr>
        <w:t>364</w:t>
      </w:r>
      <w:r w:rsidRPr="006E1A72">
        <w:rPr>
          <w:rFonts w:hint="eastAsia"/>
        </w:rPr>
        <w:t>天期央行存單交割</w:t>
      </w:r>
      <w:r w:rsidRPr="006E1A72">
        <w:rPr>
          <w:rFonts w:hint="eastAsia"/>
        </w:rPr>
        <w:t>1,200</w:t>
      </w:r>
      <w:r w:rsidRPr="006E1A72">
        <w:rPr>
          <w:rFonts w:hint="eastAsia"/>
        </w:rPr>
        <w:t>億元及央行例行性沖銷。由於銀行控管年底</w:t>
      </w:r>
      <w:r w:rsidRPr="006E1A72">
        <w:rPr>
          <w:rFonts w:hint="eastAsia"/>
        </w:rPr>
        <w:t>BIS</w:t>
      </w:r>
      <w:r w:rsidRPr="006E1A72">
        <w:rPr>
          <w:rFonts w:hint="eastAsia"/>
        </w:rPr>
        <w:t>及跨年資金緊縮效應，調度雖以短期操作為主，然央行存單屆期金額大，市場資金充沛，預期</w:t>
      </w:r>
      <w:r>
        <w:rPr>
          <w:rFonts w:hint="eastAsia"/>
        </w:rPr>
        <w:t>部分資金充裕的行庫</w:t>
      </w:r>
      <w:r w:rsidRPr="006E1A72">
        <w:rPr>
          <w:rFonts w:hint="eastAsia"/>
        </w:rPr>
        <w:t>仍可提供跨年買票資金，</w:t>
      </w:r>
      <w:r w:rsidRPr="006E1A72">
        <w:rPr>
          <w:rFonts w:hint="eastAsia"/>
        </w:rPr>
        <w:t>30</w:t>
      </w:r>
      <w:r w:rsidRPr="006E1A72">
        <w:rPr>
          <w:rFonts w:hint="eastAsia"/>
        </w:rPr>
        <w:t>天票</w:t>
      </w:r>
      <w:proofErr w:type="gramStart"/>
      <w:r w:rsidRPr="006E1A72">
        <w:rPr>
          <w:rFonts w:hint="eastAsia"/>
        </w:rPr>
        <w:t>券</w:t>
      </w:r>
      <w:proofErr w:type="gramEnd"/>
      <w:r w:rsidRPr="006E1A72">
        <w:rPr>
          <w:rFonts w:hint="eastAsia"/>
        </w:rPr>
        <w:t>次級利率預估成交於</w:t>
      </w:r>
      <w:r w:rsidRPr="006E1A72">
        <w:rPr>
          <w:rFonts w:hint="eastAsia"/>
        </w:rPr>
        <w:t>0.56%~0.63%</w:t>
      </w:r>
      <w:r w:rsidRPr="006E1A72">
        <w:rPr>
          <w:rFonts w:hint="eastAsia"/>
        </w:rPr>
        <w:t>，隔夜拆款利率落在</w:t>
      </w:r>
      <w:r w:rsidRPr="006E1A72">
        <w:rPr>
          <w:rFonts w:hint="eastAsia"/>
        </w:rPr>
        <w:t>0.295%~0.42%</w:t>
      </w:r>
      <w:r w:rsidRPr="006E1A72">
        <w:rPr>
          <w:rFonts w:hint="eastAsia"/>
        </w:rPr>
        <w:t>。</w:t>
      </w:r>
    </w:p>
    <w:p w:rsidR="00672928" w:rsidRDefault="006E1A72" w:rsidP="006E1A72">
      <w:pPr>
        <w:pStyle w:val="a3"/>
        <w:numPr>
          <w:ilvl w:val="0"/>
          <w:numId w:val="1"/>
        </w:numPr>
        <w:ind w:leftChars="0"/>
      </w:pPr>
      <w:r w:rsidRPr="006E1A72">
        <w:rPr>
          <w:rFonts w:hint="eastAsia"/>
        </w:rPr>
        <w:t>匯率方面，美國近期多項經濟數據表現展望佳，加上沙國調降原油出口價格，油價短期回升不易，致美元買盤力道</w:t>
      </w:r>
      <w:proofErr w:type="gramStart"/>
      <w:r w:rsidRPr="006E1A72">
        <w:rPr>
          <w:rFonts w:hint="eastAsia"/>
        </w:rPr>
        <w:t>不</w:t>
      </w:r>
      <w:proofErr w:type="gramEnd"/>
      <w:r w:rsidRPr="006E1A72">
        <w:rPr>
          <w:rFonts w:hint="eastAsia"/>
        </w:rPr>
        <w:t>墜，</w:t>
      </w:r>
      <w:proofErr w:type="gramStart"/>
      <w:r w:rsidRPr="006E1A72">
        <w:rPr>
          <w:rFonts w:hint="eastAsia"/>
        </w:rPr>
        <w:t>亞幣可能維持偏弱走勢</w:t>
      </w:r>
      <w:proofErr w:type="gramEnd"/>
      <w:r w:rsidRPr="006E1A72">
        <w:rPr>
          <w:rFonts w:hint="eastAsia"/>
        </w:rPr>
        <w:t>，預估新台幣兌美元成交區間落在</w:t>
      </w:r>
      <w:r w:rsidRPr="006E1A72">
        <w:rPr>
          <w:rFonts w:hint="eastAsia"/>
        </w:rPr>
        <w:t>31.0~31.2</w:t>
      </w:r>
      <w:r w:rsidRPr="006E1A72">
        <w:rPr>
          <w:rFonts w:hint="eastAsia"/>
        </w:rPr>
        <w:t>。</w:t>
      </w:r>
      <w:r w:rsidRPr="006E1A72">
        <w:br/>
      </w:r>
    </w:p>
    <w:p w:rsidR="00672928" w:rsidRDefault="00672928" w:rsidP="006729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寬鬆因素：</w:t>
      </w:r>
    </w:p>
    <w:p w:rsidR="006E1A72" w:rsidRDefault="00672928" w:rsidP="00672928">
      <w:pPr>
        <w:pStyle w:val="a3"/>
        <w:ind w:leftChars="0" w:left="622"/>
      </w:pPr>
      <w:r>
        <w:rPr>
          <w:rFonts w:hint="eastAsia"/>
        </w:rPr>
        <w:t>一、央行存單屆期分別為：</w:t>
      </w:r>
      <w:r>
        <w:rPr>
          <w:rFonts w:hint="eastAsia"/>
        </w:rPr>
        <w:t xml:space="preserve"> </w:t>
      </w:r>
    </w:p>
    <w:tbl>
      <w:tblPr>
        <w:tblStyle w:val="a4"/>
        <w:tblW w:w="0" w:type="auto"/>
        <w:tblInd w:w="622" w:type="dxa"/>
        <w:tblLook w:val="04A0" w:firstRow="1" w:lastRow="0" w:firstColumn="1" w:lastColumn="0" w:noHBand="0" w:noVBand="1"/>
      </w:tblPr>
      <w:tblGrid>
        <w:gridCol w:w="2633"/>
        <w:gridCol w:w="2633"/>
        <w:gridCol w:w="2634"/>
      </w:tblGrid>
      <w:tr w:rsidR="00672928" w:rsidTr="00672928">
        <w:tc>
          <w:tcPr>
            <w:tcW w:w="2633" w:type="dxa"/>
          </w:tcPr>
          <w:p w:rsidR="00672928" w:rsidRDefault="006E1A72" w:rsidP="00672928">
            <w:pPr>
              <w:pStyle w:val="a3"/>
              <w:ind w:leftChars="0" w:left="0"/>
            </w:pPr>
            <w:r w:rsidRPr="00672928">
              <w:t>日期</w:t>
            </w:r>
            <w:r w:rsidRPr="00672928">
              <w:t> </w:t>
            </w:r>
          </w:p>
        </w:tc>
        <w:tc>
          <w:tcPr>
            <w:tcW w:w="2633" w:type="dxa"/>
          </w:tcPr>
          <w:p w:rsidR="00672928" w:rsidRDefault="006E1A72">
            <w:r w:rsidRPr="00672928">
              <w:t>原因</w:t>
            </w:r>
          </w:p>
        </w:tc>
        <w:tc>
          <w:tcPr>
            <w:tcW w:w="2634" w:type="dxa"/>
          </w:tcPr>
          <w:p w:rsidR="00672928" w:rsidRDefault="00672928" w:rsidP="00672928">
            <w:pPr>
              <w:pStyle w:val="a3"/>
              <w:ind w:leftChars="0" w:left="0"/>
            </w:pPr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億元</w:t>
            </w:r>
          </w:p>
        </w:tc>
      </w:tr>
      <w:tr w:rsidR="00672928" w:rsidTr="00672928">
        <w:tc>
          <w:tcPr>
            <w:tcW w:w="2633" w:type="dxa"/>
          </w:tcPr>
          <w:p w:rsidR="00672928" w:rsidRPr="00417B9F" w:rsidRDefault="00672928" w:rsidP="00423B38">
            <w:r w:rsidRPr="00417B9F">
              <w:t>12/8</w:t>
            </w:r>
          </w:p>
        </w:tc>
        <w:tc>
          <w:tcPr>
            <w:tcW w:w="2633" w:type="dxa"/>
          </w:tcPr>
          <w:p w:rsidR="00672928" w:rsidRDefault="00672928">
            <w:r w:rsidRPr="00A91E03">
              <w:t>央行</w:t>
            </w:r>
            <w:r w:rsidRPr="00A91E03">
              <w:t>NCD</w:t>
            </w:r>
            <w:r w:rsidRPr="00A91E03">
              <w:t>到期</w:t>
            </w:r>
            <w:r w:rsidRPr="00A91E03">
              <w:t> </w:t>
            </w:r>
          </w:p>
        </w:tc>
        <w:tc>
          <w:tcPr>
            <w:tcW w:w="2634" w:type="dxa"/>
          </w:tcPr>
          <w:p w:rsidR="00672928" w:rsidRDefault="00672928" w:rsidP="00672928">
            <w:pPr>
              <w:pStyle w:val="a3"/>
              <w:ind w:leftChars="0" w:left="0"/>
              <w:jc w:val="right"/>
            </w:pPr>
            <w:r w:rsidRPr="00672928">
              <w:rPr>
                <w:highlight w:val="lightGray"/>
              </w:rPr>
              <w:t> </w:t>
            </w:r>
            <w:r w:rsidRPr="00672928">
              <w:rPr>
                <w:rFonts w:hint="eastAsia"/>
                <w:highlight w:val="lightGray"/>
              </w:rPr>
              <w:t>5,853.8</w:t>
            </w:r>
          </w:p>
        </w:tc>
      </w:tr>
      <w:tr w:rsidR="00672928" w:rsidTr="00672928">
        <w:tc>
          <w:tcPr>
            <w:tcW w:w="2633" w:type="dxa"/>
          </w:tcPr>
          <w:p w:rsidR="00672928" w:rsidRPr="00417B9F" w:rsidRDefault="00672928" w:rsidP="00423B38">
            <w:r w:rsidRPr="00417B9F">
              <w:t>12/9</w:t>
            </w:r>
          </w:p>
        </w:tc>
        <w:tc>
          <w:tcPr>
            <w:tcW w:w="2633" w:type="dxa"/>
          </w:tcPr>
          <w:p w:rsidR="00672928" w:rsidRDefault="00672928">
            <w:r w:rsidRPr="00A91E03">
              <w:t>央行</w:t>
            </w:r>
            <w:r w:rsidRPr="00A91E03">
              <w:t>NCD</w:t>
            </w:r>
            <w:r w:rsidRPr="00A91E03">
              <w:t>到期</w:t>
            </w:r>
            <w:r w:rsidRPr="00A91E03">
              <w:t> </w:t>
            </w:r>
          </w:p>
        </w:tc>
        <w:tc>
          <w:tcPr>
            <w:tcW w:w="2634" w:type="dxa"/>
          </w:tcPr>
          <w:p w:rsidR="00672928" w:rsidRDefault="006E1A72" w:rsidP="00672928">
            <w:pPr>
              <w:pStyle w:val="a3"/>
              <w:ind w:leftChars="0" w:left="0"/>
              <w:jc w:val="right"/>
            </w:pPr>
            <w:r w:rsidRPr="00672928">
              <w:t> </w:t>
            </w:r>
            <w:r w:rsidR="00672928" w:rsidRPr="00672928">
              <w:rPr>
                <w:rFonts w:hint="eastAsia"/>
              </w:rPr>
              <w:t>1,902</w:t>
            </w:r>
          </w:p>
        </w:tc>
      </w:tr>
      <w:tr w:rsidR="00672928" w:rsidTr="00672928">
        <w:tc>
          <w:tcPr>
            <w:tcW w:w="2633" w:type="dxa"/>
          </w:tcPr>
          <w:p w:rsidR="00672928" w:rsidRDefault="00672928" w:rsidP="00423B38">
            <w:r w:rsidRPr="00417B9F">
              <w:t>12/10</w:t>
            </w:r>
          </w:p>
        </w:tc>
        <w:tc>
          <w:tcPr>
            <w:tcW w:w="2633" w:type="dxa"/>
          </w:tcPr>
          <w:p w:rsidR="00672928" w:rsidRDefault="00672928">
            <w:r w:rsidRPr="00A91E03">
              <w:t>央行</w:t>
            </w:r>
            <w:r w:rsidRPr="00A91E03">
              <w:t>NCD</w:t>
            </w:r>
            <w:r w:rsidRPr="00A91E03">
              <w:t>到期</w:t>
            </w:r>
            <w:r w:rsidRPr="00A91E03">
              <w:t> </w:t>
            </w:r>
          </w:p>
        </w:tc>
        <w:tc>
          <w:tcPr>
            <w:tcW w:w="2634" w:type="dxa"/>
          </w:tcPr>
          <w:p w:rsidR="00672928" w:rsidRDefault="006E1A72" w:rsidP="00672928">
            <w:pPr>
              <w:pStyle w:val="a3"/>
              <w:ind w:leftChars="0" w:left="0"/>
              <w:jc w:val="right"/>
            </w:pPr>
            <w:r w:rsidRPr="00672928">
              <w:t> </w:t>
            </w:r>
            <w:r w:rsidR="00672928" w:rsidRPr="00672928">
              <w:rPr>
                <w:rFonts w:hint="eastAsia"/>
              </w:rPr>
              <w:t>638</w:t>
            </w:r>
          </w:p>
        </w:tc>
      </w:tr>
      <w:tr w:rsidR="00672928" w:rsidTr="00672928">
        <w:tc>
          <w:tcPr>
            <w:tcW w:w="2633" w:type="dxa"/>
          </w:tcPr>
          <w:p w:rsidR="00672928" w:rsidRDefault="00672928" w:rsidP="00672928">
            <w:pPr>
              <w:pStyle w:val="a3"/>
              <w:ind w:leftChars="0" w:left="0"/>
            </w:pPr>
            <w:r>
              <w:rPr>
                <w:rFonts w:hint="eastAsia"/>
              </w:rPr>
              <w:t>12/11</w:t>
            </w:r>
          </w:p>
        </w:tc>
        <w:tc>
          <w:tcPr>
            <w:tcW w:w="2633" w:type="dxa"/>
          </w:tcPr>
          <w:p w:rsidR="00672928" w:rsidRPr="0081644A" w:rsidRDefault="00672928" w:rsidP="00A914DD">
            <w:r w:rsidRPr="0081644A">
              <w:rPr>
                <w:rFonts w:hint="eastAsia"/>
              </w:rPr>
              <w:t>央行</w:t>
            </w:r>
            <w:r w:rsidRPr="0081644A">
              <w:rPr>
                <w:rFonts w:hint="eastAsia"/>
              </w:rPr>
              <w:t>NCD</w:t>
            </w:r>
            <w:r w:rsidRPr="0081644A">
              <w:rPr>
                <w:rFonts w:hint="eastAsia"/>
              </w:rPr>
              <w:t>到期</w:t>
            </w:r>
            <w:r w:rsidRPr="0081644A">
              <w:rPr>
                <w:rFonts w:hint="eastAsia"/>
              </w:rPr>
              <w:t xml:space="preserve"> </w:t>
            </w:r>
          </w:p>
        </w:tc>
        <w:tc>
          <w:tcPr>
            <w:tcW w:w="2634" w:type="dxa"/>
          </w:tcPr>
          <w:p w:rsidR="00672928" w:rsidRDefault="00672928" w:rsidP="00672928">
            <w:pPr>
              <w:pStyle w:val="a3"/>
              <w:ind w:leftChars="0" w:left="0"/>
              <w:jc w:val="right"/>
            </w:pPr>
            <w:r w:rsidRPr="00672928">
              <w:rPr>
                <w:rFonts w:hint="eastAsia"/>
              </w:rPr>
              <w:t>6,999.8</w:t>
            </w:r>
          </w:p>
        </w:tc>
      </w:tr>
      <w:tr w:rsidR="00672928" w:rsidTr="00672928">
        <w:tc>
          <w:tcPr>
            <w:tcW w:w="2633" w:type="dxa"/>
          </w:tcPr>
          <w:p w:rsidR="00672928" w:rsidRDefault="00672928" w:rsidP="00672928">
            <w:pPr>
              <w:pStyle w:val="a3"/>
              <w:ind w:leftChars="0" w:left="0"/>
            </w:pPr>
            <w:r>
              <w:rPr>
                <w:rFonts w:hint="eastAsia"/>
              </w:rPr>
              <w:t>12/12</w:t>
            </w:r>
          </w:p>
        </w:tc>
        <w:tc>
          <w:tcPr>
            <w:tcW w:w="2633" w:type="dxa"/>
          </w:tcPr>
          <w:p w:rsidR="00672928" w:rsidRPr="0081644A" w:rsidRDefault="00672928" w:rsidP="00A914DD">
            <w:r w:rsidRPr="0081644A">
              <w:rPr>
                <w:rFonts w:hint="eastAsia"/>
              </w:rPr>
              <w:t>央行</w:t>
            </w:r>
            <w:r w:rsidRPr="0081644A">
              <w:rPr>
                <w:rFonts w:hint="eastAsia"/>
              </w:rPr>
              <w:t>NCD</w:t>
            </w:r>
            <w:r w:rsidRPr="0081644A">
              <w:rPr>
                <w:rFonts w:hint="eastAsia"/>
              </w:rPr>
              <w:t>到期</w:t>
            </w:r>
            <w:r w:rsidRPr="0081644A">
              <w:rPr>
                <w:rFonts w:hint="eastAsia"/>
              </w:rPr>
              <w:t xml:space="preserve"> </w:t>
            </w:r>
          </w:p>
        </w:tc>
        <w:tc>
          <w:tcPr>
            <w:tcW w:w="2634" w:type="dxa"/>
          </w:tcPr>
          <w:p w:rsidR="00672928" w:rsidRDefault="00672928" w:rsidP="00672928">
            <w:pPr>
              <w:pStyle w:val="a3"/>
              <w:ind w:leftChars="0" w:left="0"/>
              <w:jc w:val="right"/>
            </w:pPr>
            <w:r w:rsidRPr="00672928">
              <w:rPr>
                <w:rFonts w:hint="eastAsia"/>
              </w:rPr>
              <w:t>2,818.5</w:t>
            </w:r>
          </w:p>
        </w:tc>
      </w:tr>
      <w:tr w:rsidR="00672928" w:rsidTr="00672928">
        <w:tc>
          <w:tcPr>
            <w:tcW w:w="2633" w:type="dxa"/>
          </w:tcPr>
          <w:p w:rsidR="00672928" w:rsidRDefault="006E1A72" w:rsidP="00672928">
            <w:pPr>
              <w:pStyle w:val="a3"/>
              <w:ind w:leftChars="0" w:left="0"/>
            </w:pPr>
            <w:r w:rsidRPr="00672928">
              <w:t>合計</w:t>
            </w:r>
          </w:p>
        </w:tc>
        <w:tc>
          <w:tcPr>
            <w:tcW w:w="2633" w:type="dxa"/>
          </w:tcPr>
          <w:p w:rsidR="00672928" w:rsidRDefault="00672928" w:rsidP="00672928">
            <w:pPr>
              <w:pStyle w:val="a3"/>
              <w:ind w:leftChars="0" w:left="0"/>
            </w:pPr>
          </w:p>
        </w:tc>
        <w:tc>
          <w:tcPr>
            <w:tcW w:w="2634" w:type="dxa"/>
          </w:tcPr>
          <w:p w:rsidR="00672928" w:rsidRDefault="00672928" w:rsidP="00672928">
            <w:pPr>
              <w:pStyle w:val="a3"/>
              <w:ind w:leftChars="0" w:left="0"/>
              <w:jc w:val="right"/>
            </w:pPr>
            <w:r w:rsidRPr="00672928">
              <w:rPr>
                <w:rFonts w:hint="eastAsia"/>
              </w:rPr>
              <w:t>1</w:t>
            </w:r>
            <w:r w:rsidRPr="00672928">
              <w:rPr>
                <w:rFonts w:hint="eastAsia"/>
              </w:rPr>
              <w:t>兆</w:t>
            </w:r>
            <w:r w:rsidRPr="00672928">
              <w:rPr>
                <w:rFonts w:hint="eastAsia"/>
              </w:rPr>
              <w:t>8,212.1</w:t>
            </w:r>
            <w:r w:rsidR="00121C0B" w:rsidRPr="00121C0B">
              <w:rPr>
                <w:rFonts w:hint="eastAsia"/>
              </w:rPr>
              <w:t>億元</w:t>
            </w:r>
            <w:bookmarkStart w:id="0" w:name="_GoBack"/>
            <w:bookmarkEnd w:id="0"/>
          </w:p>
        </w:tc>
      </w:tr>
    </w:tbl>
    <w:p w:rsidR="00672928" w:rsidRDefault="00672928" w:rsidP="006729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緊縮因素：</w:t>
      </w:r>
    </w:p>
    <w:p w:rsidR="00672928" w:rsidRDefault="00672928" w:rsidP="0067292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央行例行性沖銷。</w:t>
      </w:r>
    </w:p>
    <w:p w:rsidR="00672928" w:rsidRPr="006E1A72" w:rsidRDefault="00672928" w:rsidP="00672928">
      <w:pPr>
        <w:pStyle w:val="a3"/>
        <w:numPr>
          <w:ilvl w:val="0"/>
          <w:numId w:val="2"/>
        </w:numPr>
        <w:ind w:leftChars="0"/>
      </w:pPr>
      <w:r w:rsidRPr="00672928">
        <w:t>12</w:t>
      </w:r>
      <w:r w:rsidRPr="00672928">
        <w:t>月</w:t>
      </w:r>
      <w:r w:rsidRPr="00672928">
        <w:t>8</w:t>
      </w:r>
      <w:r w:rsidRPr="00672928">
        <w:t>日</w:t>
      </w:r>
      <w:r w:rsidRPr="00672928">
        <w:t>364</w:t>
      </w:r>
      <w:r w:rsidRPr="00672928">
        <w:t>天期央行存單交割</w:t>
      </w:r>
      <w:r w:rsidRPr="00672928">
        <w:t>1,200</w:t>
      </w:r>
      <w:r w:rsidRPr="00672928">
        <w:t>億元。</w:t>
      </w:r>
    </w:p>
    <w:sectPr w:rsidR="00672928" w:rsidRPr="006E1A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44" w:rsidRDefault="00DD6444" w:rsidP="00DD6444">
      <w:r>
        <w:separator/>
      </w:r>
    </w:p>
  </w:endnote>
  <w:endnote w:type="continuationSeparator" w:id="0">
    <w:p w:rsidR="00DD6444" w:rsidRDefault="00DD6444" w:rsidP="00DD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44" w:rsidRDefault="00DD6444" w:rsidP="00DD6444">
      <w:r>
        <w:separator/>
      </w:r>
    </w:p>
  </w:footnote>
  <w:footnote w:type="continuationSeparator" w:id="0">
    <w:p w:rsidR="00DD6444" w:rsidRDefault="00DD6444" w:rsidP="00DD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8"/>
    <w:multiLevelType w:val="hybridMultilevel"/>
    <w:tmpl w:val="8AE2934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C2C2E"/>
    <w:multiLevelType w:val="hybridMultilevel"/>
    <w:tmpl w:val="97D8A090"/>
    <w:lvl w:ilvl="0" w:tplc="DD1AB17C">
      <w:start w:val="1"/>
      <w:numFmt w:val="taiwaneseCountingThousand"/>
      <w:lvlText w:val="%1、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72"/>
    <w:rsid w:val="000176DC"/>
    <w:rsid w:val="00121C0B"/>
    <w:rsid w:val="00252FA7"/>
    <w:rsid w:val="00261B20"/>
    <w:rsid w:val="00672928"/>
    <w:rsid w:val="006E1A72"/>
    <w:rsid w:val="00D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72"/>
    <w:pPr>
      <w:ind w:leftChars="200" w:left="480"/>
    </w:pPr>
  </w:style>
  <w:style w:type="table" w:styleId="a4">
    <w:name w:val="Table Grid"/>
    <w:basedOn w:val="a1"/>
    <w:uiPriority w:val="59"/>
    <w:rsid w:val="0067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4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4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72"/>
    <w:pPr>
      <w:ind w:leftChars="200" w:left="480"/>
    </w:pPr>
  </w:style>
  <w:style w:type="table" w:styleId="a4">
    <w:name w:val="Table Grid"/>
    <w:basedOn w:val="a1"/>
    <w:uiPriority w:val="59"/>
    <w:rsid w:val="0067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4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4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6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569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0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9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6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>大中票券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交易部業務科長- 陳宗良</cp:lastModifiedBy>
  <cp:revision>4</cp:revision>
  <dcterms:created xsi:type="dcterms:W3CDTF">2014-12-08T02:25:00Z</dcterms:created>
  <dcterms:modified xsi:type="dcterms:W3CDTF">2014-12-08T02:26:00Z</dcterms:modified>
</cp:coreProperties>
</file>