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D1E" w:rsidRPr="003B0D81" w:rsidRDefault="009D0D1E" w:rsidP="009D0D1E">
      <w:pPr>
        <w:rPr>
          <w:rFonts w:ascii="標楷體" w:eastAsia="標楷體" w:hAnsi="標楷體"/>
          <w:b/>
          <w:sz w:val="28"/>
          <w:szCs w:val="28"/>
        </w:rPr>
      </w:pPr>
      <w:r w:rsidRPr="00800A7C">
        <w:rPr>
          <w:rFonts w:ascii="標楷體" w:eastAsia="標楷體" w:hAnsi="標楷體" w:hint="eastAsia"/>
          <w:b/>
          <w:sz w:val="28"/>
          <w:szCs w:val="28"/>
        </w:rPr>
        <w:t>大中票</w:t>
      </w:r>
      <w:proofErr w:type="gramStart"/>
      <w:r w:rsidRPr="00800A7C">
        <w:rPr>
          <w:rFonts w:ascii="標楷體" w:eastAsia="標楷體" w:hAnsi="標楷體" w:hint="eastAsia"/>
          <w:b/>
          <w:sz w:val="28"/>
          <w:szCs w:val="28"/>
        </w:rPr>
        <w:t>券</w:t>
      </w:r>
      <w:proofErr w:type="gramEnd"/>
      <w:r w:rsidRPr="00800A7C">
        <w:rPr>
          <w:rFonts w:ascii="標楷體" w:eastAsia="標楷體" w:hAnsi="標楷體" w:hint="eastAsia"/>
          <w:b/>
          <w:sz w:val="28"/>
          <w:szCs w:val="28"/>
        </w:rPr>
        <w:t>債券市場展望雙週報</w:t>
      </w:r>
      <w:r w:rsidR="006F65F3">
        <w:rPr>
          <w:rFonts w:ascii="標楷體" w:eastAsia="標楷體" w:hAnsi="標楷體" w:hint="eastAsia"/>
          <w:b/>
          <w:sz w:val="28"/>
          <w:szCs w:val="28"/>
        </w:rPr>
        <w:t xml:space="preserve">  2013/12/</w:t>
      </w:r>
      <w:r w:rsidR="0046590A">
        <w:rPr>
          <w:rFonts w:ascii="標楷體" w:eastAsia="標楷體" w:hAnsi="標楷體" w:hint="eastAsia"/>
          <w:b/>
          <w:sz w:val="28"/>
          <w:szCs w:val="28"/>
        </w:rPr>
        <w:t>2</w:t>
      </w:r>
      <w:r w:rsidR="0053454E">
        <w:rPr>
          <w:rFonts w:ascii="標楷體" w:eastAsia="標楷體" w:hAnsi="標楷體" w:hint="eastAsia"/>
          <w:b/>
          <w:sz w:val="28"/>
          <w:szCs w:val="28"/>
        </w:rPr>
        <w:t>6</w:t>
      </w:r>
    </w:p>
    <w:p w:rsidR="009D0D1E" w:rsidRPr="00E747DE" w:rsidRDefault="009D0D1E" w:rsidP="009D0D1E">
      <w:pPr>
        <w:jc w:val="both"/>
        <w:rPr>
          <w:rFonts w:ascii="標楷體" w:eastAsia="標楷體" w:hAnsi="標楷體"/>
          <w:b/>
          <w:sz w:val="26"/>
          <w:szCs w:val="26"/>
        </w:rPr>
      </w:pPr>
      <w:r w:rsidRPr="00E747DE">
        <w:rPr>
          <w:rFonts w:ascii="標楷體" w:eastAsia="標楷體" w:hAnsi="標楷體" w:hint="eastAsia"/>
          <w:b/>
          <w:sz w:val="26"/>
          <w:szCs w:val="26"/>
        </w:rPr>
        <w:t>市場回顧</w:t>
      </w:r>
    </w:p>
    <w:p w:rsidR="00A0000E" w:rsidRDefault="00A900A0" w:rsidP="00A01C65">
      <w:pPr>
        <w:ind w:firstLine="480"/>
        <w:jc w:val="both"/>
        <w:rPr>
          <w:rFonts w:ascii="標楷體" w:eastAsia="標楷體" w:hAnsi="標楷體"/>
          <w:b/>
          <w:szCs w:val="24"/>
        </w:rPr>
      </w:pPr>
      <w:proofErr w:type="gramStart"/>
      <w:r>
        <w:rPr>
          <w:rFonts w:ascii="標楷體" w:eastAsia="標楷體" w:hAnsi="標楷體" w:hint="eastAsia"/>
          <w:szCs w:val="24"/>
        </w:rPr>
        <w:t>週</w:t>
      </w:r>
      <w:proofErr w:type="gramEnd"/>
      <w:r>
        <w:rPr>
          <w:rFonts w:ascii="標楷體" w:eastAsia="標楷體" w:hAnsi="標楷體" w:hint="eastAsia"/>
          <w:szCs w:val="24"/>
        </w:rPr>
        <w:t>初</w:t>
      </w:r>
      <w:r w:rsidR="007E1539" w:rsidRPr="00062224">
        <w:rPr>
          <w:rFonts w:ascii="標楷體" w:eastAsia="標楷體" w:hAnsi="標楷體" w:hint="eastAsia"/>
          <w:szCs w:val="24"/>
        </w:rPr>
        <w:t>台債主要受到美債利率高檔震盪整理以及市場認為台灣景氣面不佳的影響之下，</w:t>
      </w:r>
      <w:proofErr w:type="gramStart"/>
      <w:r w:rsidR="007E1539" w:rsidRPr="00062224">
        <w:rPr>
          <w:rFonts w:ascii="標楷體" w:eastAsia="標楷體" w:hAnsi="標楷體" w:hint="eastAsia"/>
          <w:szCs w:val="24"/>
        </w:rPr>
        <w:t>台債十年券</w:t>
      </w:r>
      <w:r>
        <w:rPr>
          <w:rFonts w:ascii="標楷體" w:eastAsia="標楷體" w:hAnsi="標楷體" w:hint="eastAsia"/>
          <w:szCs w:val="24"/>
        </w:rPr>
        <w:t>在標債</w:t>
      </w:r>
      <w:proofErr w:type="gramEnd"/>
      <w:r>
        <w:rPr>
          <w:rFonts w:ascii="標楷體" w:eastAsia="標楷體" w:hAnsi="標楷體" w:hint="eastAsia"/>
          <w:szCs w:val="24"/>
        </w:rPr>
        <w:t>得標利率上下整理，十年利率在美國就業數據公佈非常強勁下，</w:t>
      </w:r>
      <w:r w:rsidR="007E1539" w:rsidRPr="00062224">
        <w:rPr>
          <w:rFonts w:ascii="標楷體" w:eastAsia="標楷體" w:hAnsi="標楷體" w:hint="eastAsia"/>
          <w:szCs w:val="24"/>
        </w:rPr>
        <w:t>反而利空下跌。</w:t>
      </w:r>
      <w:r>
        <w:rPr>
          <w:rFonts w:ascii="標楷體" w:eastAsia="標楷體" w:hAnsi="標楷體" w:hint="eastAsia"/>
          <w:szCs w:val="24"/>
        </w:rPr>
        <w:t>接著</w:t>
      </w:r>
      <w:proofErr w:type="gramStart"/>
      <w:r w:rsidR="007E1539" w:rsidRPr="00062224">
        <w:rPr>
          <w:rFonts w:ascii="標楷體" w:eastAsia="標楷體" w:hAnsi="標楷體" w:hint="eastAsia"/>
          <w:szCs w:val="24"/>
        </w:rPr>
        <w:t>美債受</w:t>
      </w:r>
      <w:proofErr w:type="gramEnd"/>
      <w:r w:rsidR="007E1539" w:rsidRPr="00062224">
        <w:rPr>
          <w:rFonts w:ascii="標楷體" w:eastAsia="標楷體" w:hAnsi="標楷體"/>
          <w:szCs w:val="24"/>
        </w:rPr>
        <w:t xml:space="preserve">FOMC </w:t>
      </w:r>
      <w:r w:rsidR="007E1539" w:rsidRPr="00062224">
        <w:rPr>
          <w:rFonts w:ascii="標楷體" w:eastAsia="標楷體" w:hAnsi="標楷體" w:hint="eastAsia"/>
          <w:szCs w:val="24"/>
        </w:rPr>
        <w:t>宣布調整政策影響而走勢震盪劇烈，</w:t>
      </w:r>
      <w:proofErr w:type="gramStart"/>
      <w:r w:rsidR="007E1539" w:rsidRPr="00062224">
        <w:rPr>
          <w:rFonts w:ascii="標楷體" w:eastAsia="標楷體" w:hAnsi="標楷體" w:hint="eastAsia"/>
          <w:szCs w:val="24"/>
        </w:rPr>
        <w:t>但台債由於</w:t>
      </w:r>
      <w:proofErr w:type="gramEnd"/>
      <w:r w:rsidR="007E1539" w:rsidRPr="00062224">
        <w:rPr>
          <w:rFonts w:ascii="標楷體" w:eastAsia="標楷體" w:hAnsi="標楷體" w:hint="eastAsia"/>
          <w:szCs w:val="24"/>
        </w:rPr>
        <w:t>已屆年底，交易商進場意願低落，反給多方趕於年底前將利率壓低作價的可趁之機，五年以內的冷</w:t>
      </w:r>
      <w:proofErr w:type="gramStart"/>
      <w:r w:rsidR="007E1539" w:rsidRPr="00062224">
        <w:rPr>
          <w:rFonts w:ascii="標楷體" w:eastAsia="標楷體" w:hAnsi="標楷體" w:hint="eastAsia"/>
          <w:szCs w:val="24"/>
        </w:rPr>
        <w:t>券</w:t>
      </w:r>
      <w:proofErr w:type="gramEnd"/>
      <w:r w:rsidR="007E1539" w:rsidRPr="00062224">
        <w:rPr>
          <w:rFonts w:ascii="標楷體" w:eastAsia="標楷體" w:hAnsi="標楷體" w:hint="eastAsia"/>
          <w:szCs w:val="24"/>
        </w:rPr>
        <w:t>也有疑似軋空的搶買行情，市</w:t>
      </w:r>
      <w:proofErr w:type="gramStart"/>
      <w:r w:rsidR="007E1539" w:rsidRPr="00062224">
        <w:rPr>
          <w:rFonts w:ascii="標楷體" w:eastAsia="標楷體" w:hAnsi="標楷體" w:hint="eastAsia"/>
          <w:szCs w:val="24"/>
        </w:rPr>
        <w:t>況</w:t>
      </w:r>
      <w:proofErr w:type="gramEnd"/>
      <w:r w:rsidR="007E1539" w:rsidRPr="00062224">
        <w:rPr>
          <w:rFonts w:ascii="標楷體" w:eastAsia="標楷體" w:hAnsi="標楷體" w:hint="eastAsia"/>
          <w:szCs w:val="24"/>
        </w:rPr>
        <w:t>甚至有時比十年指標</w:t>
      </w:r>
      <w:proofErr w:type="gramStart"/>
      <w:r w:rsidR="007E1539" w:rsidRPr="00062224">
        <w:rPr>
          <w:rFonts w:ascii="標楷體" w:eastAsia="標楷體" w:hAnsi="標楷體" w:hint="eastAsia"/>
          <w:szCs w:val="24"/>
        </w:rPr>
        <w:t>券</w:t>
      </w:r>
      <w:proofErr w:type="gramEnd"/>
      <w:r w:rsidR="007E1539" w:rsidRPr="00062224">
        <w:rPr>
          <w:rFonts w:ascii="標楷體" w:eastAsia="標楷體" w:hAnsi="標楷體" w:hint="eastAsia"/>
          <w:szCs w:val="24"/>
        </w:rPr>
        <w:t>還熱絡，因此上周台股、台幣與美債走勢似乎完全未</w:t>
      </w:r>
      <w:proofErr w:type="gramStart"/>
      <w:r w:rsidR="007E1539" w:rsidRPr="00062224">
        <w:rPr>
          <w:rFonts w:ascii="標楷體" w:eastAsia="標楷體" w:hAnsi="標楷體" w:hint="eastAsia"/>
          <w:szCs w:val="24"/>
        </w:rPr>
        <w:t>對台債出現</w:t>
      </w:r>
      <w:proofErr w:type="gramEnd"/>
      <w:r w:rsidR="007E1539" w:rsidRPr="00062224">
        <w:rPr>
          <w:rFonts w:ascii="標楷體" w:eastAsia="標楷體" w:hAnsi="標楷體" w:hint="eastAsia"/>
          <w:szCs w:val="24"/>
        </w:rPr>
        <w:t>任何影響，</w:t>
      </w:r>
      <w:proofErr w:type="gramStart"/>
      <w:r w:rsidR="00880D7C" w:rsidRPr="00062224">
        <w:rPr>
          <w:rFonts w:ascii="標楷體" w:eastAsia="標楷體" w:hAnsi="標楷體" w:hint="eastAsia"/>
          <w:szCs w:val="24"/>
        </w:rPr>
        <w:t>，</w:t>
      </w:r>
      <w:proofErr w:type="gramEnd"/>
      <w:r w:rsidR="00880D7C" w:rsidRPr="00062224">
        <w:rPr>
          <w:rFonts w:ascii="標楷體" w:eastAsia="標楷體" w:hAnsi="標楷體" w:hint="eastAsia"/>
          <w:szCs w:val="24"/>
        </w:rPr>
        <w:t>終場五年</w:t>
      </w:r>
      <w:proofErr w:type="gramStart"/>
      <w:r w:rsidR="00880D7C" w:rsidRPr="00062224">
        <w:rPr>
          <w:rFonts w:ascii="標楷體" w:eastAsia="標楷體" w:hAnsi="標楷體" w:hint="eastAsia"/>
          <w:szCs w:val="24"/>
        </w:rPr>
        <w:t>券</w:t>
      </w:r>
      <w:proofErr w:type="gramEnd"/>
      <w:r w:rsidR="00880D7C" w:rsidRPr="00062224">
        <w:rPr>
          <w:rFonts w:ascii="標楷體" w:eastAsia="標楷體" w:hAnsi="標楷體" w:hint="eastAsia"/>
          <w:szCs w:val="24"/>
        </w:rPr>
        <w:t>收在</w:t>
      </w:r>
      <w:r w:rsidR="006F65F3" w:rsidRPr="00062224">
        <w:rPr>
          <w:rFonts w:ascii="標楷體" w:eastAsia="標楷體" w:hAnsi="標楷體" w:hint="eastAsia"/>
          <w:szCs w:val="24"/>
        </w:rPr>
        <w:t>1.0</w:t>
      </w:r>
      <w:r w:rsidR="00062224" w:rsidRPr="00062224">
        <w:rPr>
          <w:rFonts w:ascii="標楷體" w:eastAsia="標楷體" w:hAnsi="標楷體" w:hint="eastAsia"/>
          <w:szCs w:val="24"/>
        </w:rPr>
        <w:t>49</w:t>
      </w:r>
      <w:r w:rsidR="00880D7C" w:rsidRPr="00062224">
        <w:rPr>
          <w:rFonts w:ascii="標楷體" w:eastAsia="標楷體" w:hAnsi="標楷體" w:hint="eastAsia"/>
          <w:szCs w:val="24"/>
        </w:rPr>
        <w:t>%，十年</w:t>
      </w:r>
      <w:proofErr w:type="gramStart"/>
      <w:r w:rsidR="00880D7C" w:rsidRPr="00062224">
        <w:rPr>
          <w:rFonts w:ascii="標楷體" w:eastAsia="標楷體" w:hAnsi="標楷體" w:hint="eastAsia"/>
          <w:szCs w:val="24"/>
        </w:rPr>
        <w:t>券</w:t>
      </w:r>
      <w:proofErr w:type="gramEnd"/>
      <w:r w:rsidR="00880D7C" w:rsidRPr="00062224">
        <w:rPr>
          <w:rFonts w:ascii="標楷體" w:eastAsia="標楷體" w:hAnsi="標楷體" w:hint="eastAsia"/>
          <w:szCs w:val="24"/>
        </w:rPr>
        <w:t>收在</w:t>
      </w:r>
      <w:r w:rsidR="006F65F3" w:rsidRPr="00062224">
        <w:rPr>
          <w:rFonts w:ascii="標楷體" w:eastAsia="標楷體" w:hAnsi="標楷體" w:hint="eastAsia"/>
          <w:szCs w:val="24"/>
        </w:rPr>
        <w:t>1.</w:t>
      </w:r>
      <w:r w:rsidR="00062224" w:rsidRPr="00062224">
        <w:rPr>
          <w:rFonts w:ascii="標楷體" w:eastAsia="標楷體" w:hAnsi="標楷體" w:hint="eastAsia"/>
          <w:szCs w:val="24"/>
        </w:rPr>
        <w:t>652</w:t>
      </w:r>
      <w:r w:rsidR="00DE10FA" w:rsidRPr="00062224">
        <w:rPr>
          <w:rFonts w:ascii="標楷體" w:eastAsia="標楷體" w:hAnsi="標楷體" w:hint="eastAsia"/>
          <w:szCs w:val="24"/>
        </w:rPr>
        <w:t>%。</w:t>
      </w:r>
    </w:p>
    <w:p w:rsidR="00DE4D36" w:rsidRDefault="00DE4D36" w:rsidP="00DE4D36">
      <w:pPr>
        <w:autoSpaceDE w:val="0"/>
        <w:autoSpaceDN w:val="0"/>
        <w:adjustRightInd w:val="0"/>
        <w:rPr>
          <w:rFonts w:ascii="標楷體" w:eastAsia="標楷體" w:hAnsi="標楷體"/>
          <w:szCs w:val="24"/>
        </w:rPr>
      </w:pPr>
      <w:r>
        <w:rPr>
          <w:rFonts w:ascii="標楷體" w:eastAsia="標楷體" w:hAnsi="標楷體"/>
          <w:szCs w:val="24"/>
        </w:rPr>
        <w:t>12/18</w:t>
      </w:r>
      <w:r w:rsidRPr="00DE4D36">
        <w:rPr>
          <w:rFonts w:ascii="標楷體" w:eastAsia="標楷體" w:hAnsi="標楷體" w:hint="eastAsia"/>
          <w:szCs w:val="24"/>
        </w:rPr>
        <w:t>美國聯</w:t>
      </w:r>
      <w:proofErr w:type="gramStart"/>
      <w:r w:rsidRPr="00DE4D36">
        <w:rPr>
          <w:rFonts w:ascii="標楷體" w:eastAsia="標楷體" w:hAnsi="標楷體" w:hint="eastAsia"/>
          <w:szCs w:val="24"/>
        </w:rPr>
        <w:t>準</w:t>
      </w:r>
      <w:proofErr w:type="gramEnd"/>
      <w:r w:rsidRPr="00DE4D36">
        <w:rPr>
          <w:rFonts w:ascii="標楷體" w:eastAsia="標楷體" w:hAnsi="標楷體" w:hint="eastAsia"/>
          <w:szCs w:val="24"/>
        </w:rPr>
        <w:t>會主席</w:t>
      </w:r>
      <w:r w:rsidRPr="00DE4D36">
        <w:rPr>
          <w:rFonts w:ascii="標楷體" w:eastAsia="標楷體" w:hAnsi="標楷體"/>
          <w:szCs w:val="24"/>
        </w:rPr>
        <w:t xml:space="preserve">Bernanke </w:t>
      </w:r>
      <w:r w:rsidRPr="00DE4D36">
        <w:rPr>
          <w:rFonts w:ascii="標楷體" w:eastAsia="標楷體" w:hAnsi="標楷體" w:hint="eastAsia"/>
          <w:szCs w:val="24"/>
        </w:rPr>
        <w:t>在</w:t>
      </w:r>
      <w:r w:rsidRPr="00DE4D36">
        <w:rPr>
          <w:rFonts w:ascii="標楷體" w:eastAsia="標楷體" w:hAnsi="標楷體"/>
          <w:szCs w:val="24"/>
        </w:rPr>
        <w:t xml:space="preserve">FOMC </w:t>
      </w:r>
      <w:r w:rsidRPr="00DE4D36">
        <w:rPr>
          <w:rFonts w:ascii="標楷體" w:eastAsia="標楷體" w:hAnsi="標楷體" w:hint="eastAsia"/>
          <w:szCs w:val="24"/>
        </w:rPr>
        <w:t>會議後的記者會宣布，在經濟活動和勞動市場改善下，將溫和減緩聯</w:t>
      </w:r>
      <w:proofErr w:type="gramStart"/>
      <w:r w:rsidRPr="00DE4D36">
        <w:rPr>
          <w:rFonts w:ascii="標楷體" w:eastAsia="標楷體" w:hAnsi="標楷體" w:hint="eastAsia"/>
          <w:szCs w:val="24"/>
        </w:rPr>
        <w:t>準會購債的</w:t>
      </w:r>
      <w:proofErr w:type="gramEnd"/>
      <w:r w:rsidRPr="00DE4D36">
        <w:rPr>
          <w:rFonts w:ascii="標楷體" w:eastAsia="標楷體" w:hAnsi="標楷體" w:hint="eastAsia"/>
          <w:szCs w:val="24"/>
        </w:rPr>
        <w:t>金額，自</w:t>
      </w:r>
      <w:r w:rsidRPr="00DE4D36">
        <w:rPr>
          <w:rFonts w:ascii="標楷體" w:eastAsia="標楷體" w:hAnsi="標楷體"/>
          <w:szCs w:val="24"/>
        </w:rPr>
        <w:t>2014</w:t>
      </w:r>
      <w:r w:rsidRPr="00DE4D36">
        <w:rPr>
          <w:rFonts w:ascii="標楷體" w:eastAsia="標楷體" w:hAnsi="標楷體" w:hint="eastAsia"/>
          <w:szCs w:val="24"/>
        </w:rPr>
        <w:t>年</w:t>
      </w:r>
      <w:r>
        <w:rPr>
          <w:rFonts w:ascii="標楷體" w:eastAsia="標楷體" w:hAnsi="標楷體"/>
          <w:szCs w:val="24"/>
        </w:rPr>
        <w:t>1</w:t>
      </w:r>
      <w:r w:rsidRPr="00DE4D36">
        <w:rPr>
          <w:rFonts w:ascii="標楷體" w:eastAsia="標楷體" w:hAnsi="標楷體" w:hint="eastAsia"/>
          <w:szCs w:val="24"/>
        </w:rPr>
        <w:t>月起減少購買公債與抵押貸款擔保證券</w:t>
      </w:r>
      <w:r w:rsidRPr="00DE4D36">
        <w:rPr>
          <w:rFonts w:ascii="標楷體" w:eastAsia="標楷體" w:hAnsi="標楷體"/>
          <w:szCs w:val="24"/>
        </w:rPr>
        <w:t xml:space="preserve">(MBS) </w:t>
      </w:r>
      <w:r w:rsidRPr="00DE4D36">
        <w:rPr>
          <w:rFonts w:ascii="標楷體" w:eastAsia="標楷體" w:hAnsi="標楷體" w:hint="eastAsia"/>
          <w:szCs w:val="24"/>
        </w:rPr>
        <w:t>各</w:t>
      </w:r>
      <w:r>
        <w:rPr>
          <w:rFonts w:ascii="標楷體" w:eastAsia="標楷體" w:hAnsi="標楷體"/>
          <w:szCs w:val="24"/>
        </w:rPr>
        <w:t>50</w:t>
      </w:r>
      <w:r w:rsidRPr="00DE4D36">
        <w:rPr>
          <w:rFonts w:ascii="標楷體" w:eastAsia="標楷體" w:hAnsi="標楷體" w:hint="eastAsia"/>
          <w:szCs w:val="24"/>
        </w:rPr>
        <w:t>億美元。聯</w:t>
      </w:r>
      <w:proofErr w:type="gramStart"/>
      <w:r w:rsidRPr="00DE4D36">
        <w:rPr>
          <w:rFonts w:ascii="標楷體" w:eastAsia="標楷體" w:hAnsi="標楷體" w:hint="eastAsia"/>
          <w:szCs w:val="24"/>
        </w:rPr>
        <w:t>準</w:t>
      </w:r>
      <w:proofErr w:type="gramEnd"/>
      <w:r w:rsidRPr="00DE4D36">
        <w:rPr>
          <w:rFonts w:ascii="標楷體" w:eastAsia="標楷體" w:hAnsi="標楷體" w:hint="eastAsia"/>
          <w:szCs w:val="24"/>
        </w:rPr>
        <w:t>會收購的長期債券的規模將由現行的每月</w:t>
      </w:r>
      <w:r w:rsidRPr="00DE4D36">
        <w:rPr>
          <w:rFonts w:ascii="標楷體" w:eastAsia="標楷體" w:hAnsi="標楷體"/>
          <w:szCs w:val="24"/>
        </w:rPr>
        <w:t>450</w:t>
      </w:r>
      <w:r w:rsidRPr="00DE4D36">
        <w:rPr>
          <w:rFonts w:ascii="標楷體" w:eastAsia="標楷體" w:hAnsi="標楷體" w:hint="eastAsia"/>
          <w:szCs w:val="24"/>
        </w:rPr>
        <w:t>億美元減少至</w:t>
      </w:r>
      <w:r>
        <w:rPr>
          <w:rFonts w:ascii="標楷體" w:eastAsia="標楷體" w:hAnsi="標楷體"/>
          <w:szCs w:val="24"/>
        </w:rPr>
        <w:t>400</w:t>
      </w:r>
      <w:r w:rsidRPr="00DE4D36">
        <w:rPr>
          <w:rFonts w:ascii="標楷體" w:eastAsia="標楷體" w:hAnsi="標楷體" w:hint="eastAsia"/>
          <w:szCs w:val="24"/>
        </w:rPr>
        <w:t>億美元；加上抵押貸款擔保債券則由</w:t>
      </w:r>
      <w:r>
        <w:rPr>
          <w:rFonts w:ascii="標楷體" w:eastAsia="標楷體" w:hAnsi="標楷體"/>
          <w:szCs w:val="24"/>
        </w:rPr>
        <w:t>400</w:t>
      </w:r>
      <w:r w:rsidRPr="00DE4D36">
        <w:rPr>
          <w:rFonts w:ascii="標楷體" w:eastAsia="標楷體" w:hAnsi="標楷體" w:hint="eastAsia"/>
          <w:szCs w:val="24"/>
        </w:rPr>
        <w:t>億美元減至</w:t>
      </w:r>
      <w:r>
        <w:rPr>
          <w:rFonts w:ascii="標楷體" w:eastAsia="標楷體" w:hAnsi="標楷體"/>
          <w:szCs w:val="24"/>
        </w:rPr>
        <w:t>350</w:t>
      </w:r>
      <w:r w:rsidRPr="00DE4D36">
        <w:rPr>
          <w:rFonts w:ascii="標楷體" w:eastAsia="標楷體" w:hAnsi="標楷體" w:hint="eastAsia"/>
          <w:szCs w:val="24"/>
        </w:rPr>
        <w:t>億美元。如果未來經濟數據顯示，就業市場持續改善，</w:t>
      </w:r>
      <w:proofErr w:type="gramStart"/>
      <w:r w:rsidRPr="00DE4D36">
        <w:rPr>
          <w:rFonts w:ascii="標楷體" w:eastAsia="標楷體" w:hAnsi="標楷體" w:hint="eastAsia"/>
          <w:szCs w:val="24"/>
        </w:rPr>
        <w:t>通膨朝</w:t>
      </w:r>
      <w:proofErr w:type="gramEnd"/>
      <w:r w:rsidRPr="00DE4D36">
        <w:rPr>
          <w:rFonts w:ascii="標楷體" w:eastAsia="標楷體" w:hAnsi="標楷體"/>
          <w:szCs w:val="24"/>
        </w:rPr>
        <w:t>2%</w:t>
      </w:r>
      <w:r w:rsidRPr="00DE4D36">
        <w:rPr>
          <w:rFonts w:ascii="標楷體" w:eastAsia="標楷體" w:hAnsi="標楷體" w:hint="eastAsia"/>
          <w:szCs w:val="24"/>
        </w:rPr>
        <w:t>目標接近，聯</w:t>
      </w:r>
      <w:proofErr w:type="gramStart"/>
      <w:r w:rsidRPr="00DE4D36">
        <w:rPr>
          <w:rFonts w:ascii="標楷體" w:eastAsia="標楷體" w:hAnsi="標楷體" w:hint="eastAsia"/>
          <w:szCs w:val="24"/>
        </w:rPr>
        <w:t>準</w:t>
      </w:r>
      <w:proofErr w:type="gramEnd"/>
      <w:r w:rsidRPr="00DE4D36">
        <w:rPr>
          <w:rFonts w:ascii="標楷體" w:eastAsia="標楷體" w:hAnsi="標楷體" w:hint="eastAsia"/>
          <w:szCs w:val="24"/>
        </w:rPr>
        <w:t>會很可能會進一步謹慎削減資產購買。</w:t>
      </w:r>
      <w:r w:rsidRPr="00DE4D36">
        <w:rPr>
          <w:rFonts w:ascii="標楷體" w:eastAsia="標楷體" w:hAnsi="標楷體"/>
          <w:szCs w:val="24"/>
        </w:rPr>
        <w:t xml:space="preserve">Fed </w:t>
      </w:r>
      <w:r w:rsidRPr="00DE4D36">
        <w:rPr>
          <w:rFonts w:ascii="標楷體" w:eastAsia="標楷體" w:hAnsi="標楷體" w:hint="eastAsia"/>
          <w:szCs w:val="24"/>
        </w:rPr>
        <w:t>也強調資產購買沒有預設好的模式或時間表，</w:t>
      </w:r>
      <w:proofErr w:type="gramStart"/>
      <w:r w:rsidRPr="00DE4D36">
        <w:rPr>
          <w:rFonts w:ascii="標楷體" w:eastAsia="標楷體" w:hAnsi="標楷體" w:hint="eastAsia"/>
          <w:szCs w:val="24"/>
        </w:rPr>
        <w:t>減緩購債速度</w:t>
      </w:r>
      <w:proofErr w:type="gramEnd"/>
      <w:r w:rsidRPr="00DE4D36">
        <w:rPr>
          <w:rFonts w:ascii="標楷體" w:eastAsia="標楷體" w:hAnsi="標楷體" w:hint="eastAsia"/>
          <w:szCs w:val="24"/>
        </w:rPr>
        <w:t>與規模的決定仍將取決於對經濟情景的展望。</w:t>
      </w:r>
    </w:p>
    <w:p w:rsidR="00A01C65" w:rsidRDefault="00A01C65" w:rsidP="00DE4D36">
      <w:pPr>
        <w:autoSpaceDE w:val="0"/>
        <w:autoSpaceDN w:val="0"/>
        <w:adjustRightInd w:val="0"/>
        <w:rPr>
          <w:rFonts w:ascii="標楷體" w:eastAsia="標楷體" w:hAnsi="標楷體"/>
          <w:szCs w:val="24"/>
        </w:rPr>
      </w:pPr>
    </w:p>
    <w:p w:rsidR="00A01C65" w:rsidRPr="00DE4D36" w:rsidRDefault="00A01C65" w:rsidP="00DE4D36">
      <w:pPr>
        <w:autoSpaceDE w:val="0"/>
        <w:autoSpaceDN w:val="0"/>
        <w:adjustRightInd w:val="0"/>
        <w:rPr>
          <w:rFonts w:ascii="標楷體" w:eastAsia="標楷體" w:hAnsi="標楷體"/>
          <w:szCs w:val="24"/>
        </w:rPr>
      </w:pPr>
    </w:p>
    <w:p w:rsidR="00A0000E" w:rsidRDefault="00735CD5" w:rsidP="00A01C65">
      <w:pPr>
        <w:autoSpaceDE w:val="0"/>
        <w:autoSpaceDN w:val="0"/>
        <w:adjustRightInd w:val="0"/>
        <w:rPr>
          <w:rFonts w:ascii="標楷體" w:eastAsia="標楷體" w:hAnsi="標楷體"/>
          <w:b/>
          <w:szCs w:val="24"/>
        </w:rPr>
      </w:pPr>
      <w:proofErr w:type="gramStart"/>
      <w:r>
        <w:rPr>
          <w:rFonts w:ascii="標楷體" w:eastAsia="標楷體" w:hAnsi="標楷體" w:hint="eastAsia"/>
          <w:b/>
          <w:szCs w:val="24"/>
        </w:rPr>
        <w:t>歐債10年</w:t>
      </w:r>
      <w:proofErr w:type="gramEnd"/>
      <w:r>
        <w:rPr>
          <w:rFonts w:ascii="標楷體" w:eastAsia="標楷體" w:hAnsi="標楷體" w:hint="eastAsia"/>
          <w:b/>
          <w:szCs w:val="24"/>
        </w:rPr>
        <w:t>期利率走勢圖</w:t>
      </w:r>
      <w:r w:rsidR="00F92E9C">
        <w:rPr>
          <w:noProof/>
        </w:rPr>
        <w:drawing>
          <wp:inline distT="0" distB="0" distL="0" distR="0">
            <wp:extent cx="5607050" cy="3870083"/>
            <wp:effectExtent l="0" t="0" r="0" b="0"/>
            <wp:docPr id="6" name="圖片 6" descr="C:\Users\bloomberg\AppData\Local\Temp\Bloomberg\Temp\bfmF6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loomberg\AppData\Local\Temp\Bloomberg\Temp\bfmF6BF.g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7050" cy="3870083"/>
                    </a:xfrm>
                    <a:prstGeom prst="rect">
                      <a:avLst/>
                    </a:prstGeom>
                    <a:noFill/>
                    <a:ln>
                      <a:noFill/>
                    </a:ln>
                  </pic:spPr>
                </pic:pic>
              </a:graphicData>
            </a:graphic>
          </wp:inline>
        </w:drawing>
      </w:r>
    </w:p>
    <w:p w:rsidR="00A0000E" w:rsidRDefault="00A0000E" w:rsidP="00404D41">
      <w:pPr>
        <w:jc w:val="both"/>
        <w:rPr>
          <w:rFonts w:ascii="標楷體" w:eastAsia="標楷體" w:hAnsi="標楷體"/>
          <w:b/>
          <w:sz w:val="26"/>
          <w:szCs w:val="26"/>
        </w:rPr>
      </w:pPr>
    </w:p>
    <w:p w:rsidR="00D90764" w:rsidRDefault="00D90764" w:rsidP="00404D41">
      <w:pPr>
        <w:jc w:val="both"/>
        <w:rPr>
          <w:rFonts w:ascii="標楷體" w:eastAsia="標楷體" w:hAnsi="標楷體"/>
          <w:b/>
          <w:sz w:val="26"/>
          <w:szCs w:val="26"/>
        </w:rPr>
      </w:pPr>
    </w:p>
    <w:p w:rsidR="00735CD5" w:rsidRDefault="00735CD5" w:rsidP="00735CD5">
      <w:pPr>
        <w:jc w:val="both"/>
        <w:rPr>
          <w:rFonts w:ascii="標楷體" w:eastAsia="標楷體" w:hAnsi="標楷體"/>
          <w:b/>
          <w:szCs w:val="24"/>
        </w:rPr>
      </w:pPr>
      <w:r>
        <w:rPr>
          <w:rFonts w:ascii="標楷體" w:eastAsia="標楷體" w:hAnsi="標楷體" w:hint="eastAsia"/>
          <w:b/>
          <w:szCs w:val="24"/>
        </w:rPr>
        <w:lastRenderedPageBreak/>
        <w:t>美債10年期利率走勢圖</w:t>
      </w:r>
    </w:p>
    <w:p w:rsidR="00D90764" w:rsidRDefault="00F92E9C" w:rsidP="00404D41">
      <w:pPr>
        <w:jc w:val="both"/>
        <w:rPr>
          <w:rFonts w:ascii="標楷體" w:eastAsia="標楷體" w:hAnsi="標楷體"/>
          <w:b/>
          <w:sz w:val="26"/>
          <w:szCs w:val="26"/>
        </w:rPr>
      </w:pPr>
      <w:r>
        <w:rPr>
          <w:noProof/>
        </w:rPr>
        <w:drawing>
          <wp:inline distT="0" distB="0" distL="0" distR="0">
            <wp:extent cx="5607050" cy="3870083"/>
            <wp:effectExtent l="0" t="0" r="0" b="0"/>
            <wp:docPr id="11" name="圖片 11" descr="C:\Users\bloomberg\AppData\Local\Temp\Bloomberg\Temp\bfmDE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loomberg\AppData\Local\Temp\Bloomberg\Temp\bfmDE7C.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7050" cy="3870083"/>
                    </a:xfrm>
                    <a:prstGeom prst="rect">
                      <a:avLst/>
                    </a:prstGeom>
                    <a:noFill/>
                    <a:ln>
                      <a:noFill/>
                    </a:ln>
                  </pic:spPr>
                </pic:pic>
              </a:graphicData>
            </a:graphic>
          </wp:inline>
        </w:drawing>
      </w:r>
    </w:p>
    <w:p w:rsidR="00735CD5" w:rsidRDefault="00735CD5" w:rsidP="00735CD5">
      <w:pPr>
        <w:jc w:val="both"/>
        <w:rPr>
          <w:rFonts w:ascii="標楷體" w:eastAsia="標楷體" w:hAnsi="標楷體"/>
          <w:b/>
          <w:szCs w:val="24"/>
        </w:rPr>
      </w:pPr>
    </w:p>
    <w:p w:rsidR="00D90764" w:rsidRPr="00735CD5" w:rsidRDefault="00735CD5" w:rsidP="00404D41">
      <w:pPr>
        <w:jc w:val="both"/>
        <w:rPr>
          <w:rFonts w:ascii="標楷體" w:eastAsia="標楷體" w:hAnsi="標楷體"/>
          <w:b/>
          <w:szCs w:val="24"/>
        </w:rPr>
      </w:pPr>
      <w:r>
        <w:rPr>
          <w:rFonts w:ascii="標楷體" w:eastAsia="標楷體" w:hAnsi="標楷體" w:hint="eastAsia"/>
          <w:b/>
          <w:szCs w:val="24"/>
        </w:rPr>
        <w:t>日債10年期利率走勢圖</w:t>
      </w:r>
    </w:p>
    <w:p w:rsidR="00D90764" w:rsidRDefault="00F92E9C" w:rsidP="00404D41">
      <w:pPr>
        <w:jc w:val="both"/>
        <w:rPr>
          <w:rFonts w:ascii="標楷體" w:eastAsia="標楷體" w:hAnsi="標楷體"/>
          <w:b/>
          <w:sz w:val="26"/>
          <w:szCs w:val="26"/>
        </w:rPr>
      </w:pPr>
      <w:r>
        <w:rPr>
          <w:noProof/>
        </w:rPr>
        <w:drawing>
          <wp:inline distT="0" distB="0" distL="0" distR="0">
            <wp:extent cx="5607050" cy="3870083"/>
            <wp:effectExtent l="0" t="0" r="0" b="0"/>
            <wp:docPr id="12" name="圖片 12" descr="C:\Users\bloomberg\AppData\Local\Temp\Bloomberg\Temp\bfmF8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loomberg\AppData\Local\Temp\Bloomberg\Temp\bfmF808.gif"/>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7050" cy="3870083"/>
                    </a:xfrm>
                    <a:prstGeom prst="rect">
                      <a:avLst/>
                    </a:prstGeom>
                    <a:noFill/>
                    <a:ln>
                      <a:noFill/>
                    </a:ln>
                  </pic:spPr>
                </pic:pic>
              </a:graphicData>
            </a:graphic>
          </wp:inline>
        </w:drawing>
      </w:r>
    </w:p>
    <w:p w:rsidR="00D90764" w:rsidRDefault="00D90764" w:rsidP="00404D41">
      <w:pPr>
        <w:jc w:val="both"/>
        <w:rPr>
          <w:rFonts w:ascii="標楷體" w:eastAsia="標楷體" w:hAnsi="標楷體"/>
          <w:b/>
          <w:sz w:val="26"/>
          <w:szCs w:val="26"/>
        </w:rPr>
      </w:pPr>
    </w:p>
    <w:p w:rsidR="00D90764" w:rsidRDefault="00D90764" w:rsidP="00404D41">
      <w:pPr>
        <w:jc w:val="both"/>
        <w:rPr>
          <w:rFonts w:ascii="標楷體" w:eastAsia="標楷體" w:hAnsi="標楷體"/>
          <w:b/>
          <w:sz w:val="26"/>
          <w:szCs w:val="26"/>
        </w:rPr>
      </w:pPr>
    </w:p>
    <w:p w:rsidR="00D90764" w:rsidRPr="00735CD5" w:rsidRDefault="00735CD5" w:rsidP="00404D41">
      <w:pPr>
        <w:jc w:val="both"/>
        <w:rPr>
          <w:rFonts w:ascii="標楷體" w:eastAsia="標楷體" w:hAnsi="標楷體"/>
          <w:b/>
          <w:szCs w:val="24"/>
        </w:rPr>
      </w:pPr>
      <w:proofErr w:type="gramStart"/>
      <w:r>
        <w:rPr>
          <w:rFonts w:ascii="標楷體" w:eastAsia="標楷體" w:hAnsi="標楷體" w:hint="eastAsia"/>
          <w:b/>
          <w:szCs w:val="24"/>
        </w:rPr>
        <w:lastRenderedPageBreak/>
        <w:t>台債10年</w:t>
      </w:r>
      <w:proofErr w:type="gramEnd"/>
      <w:r>
        <w:rPr>
          <w:rFonts w:ascii="標楷體" w:eastAsia="標楷體" w:hAnsi="標楷體" w:hint="eastAsia"/>
          <w:b/>
          <w:szCs w:val="24"/>
        </w:rPr>
        <w:t>期利率走勢圖</w:t>
      </w:r>
    </w:p>
    <w:p w:rsidR="00D90764" w:rsidRDefault="00F92E9C" w:rsidP="00404D41">
      <w:pPr>
        <w:jc w:val="both"/>
        <w:rPr>
          <w:rFonts w:ascii="標楷體" w:eastAsia="標楷體" w:hAnsi="標楷體"/>
          <w:b/>
          <w:sz w:val="26"/>
          <w:szCs w:val="26"/>
        </w:rPr>
      </w:pPr>
      <w:r>
        <w:rPr>
          <w:noProof/>
        </w:rPr>
        <w:drawing>
          <wp:inline distT="0" distB="0" distL="0" distR="0">
            <wp:extent cx="5607050" cy="3870083"/>
            <wp:effectExtent l="0" t="0" r="0" b="0"/>
            <wp:docPr id="13" name="圖片 13" descr="C:\Users\bloomberg\AppData\Local\Temp\Bloomberg\Temp\bfmEA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loomberg\AppData\Local\Temp\Bloomberg\Temp\bfmEA82.gif"/>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7050" cy="3870083"/>
                    </a:xfrm>
                    <a:prstGeom prst="rect">
                      <a:avLst/>
                    </a:prstGeom>
                    <a:noFill/>
                    <a:ln>
                      <a:noFill/>
                    </a:ln>
                  </pic:spPr>
                </pic:pic>
              </a:graphicData>
            </a:graphic>
          </wp:inline>
        </w:drawing>
      </w:r>
    </w:p>
    <w:p w:rsidR="00D90764" w:rsidRDefault="00735CD5" w:rsidP="00404D41">
      <w:pPr>
        <w:jc w:val="both"/>
        <w:rPr>
          <w:rFonts w:ascii="標楷體" w:eastAsia="標楷體" w:hAnsi="標楷體"/>
          <w:b/>
          <w:sz w:val="26"/>
          <w:szCs w:val="26"/>
        </w:rPr>
      </w:pPr>
      <w:r>
        <w:rPr>
          <w:rFonts w:ascii="標楷體" w:eastAsia="標楷體" w:hAnsi="標楷體" w:hint="eastAsia"/>
          <w:b/>
          <w:sz w:val="26"/>
          <w:szCs w:val="26"/>
        </w:rPr>
        <w:t>各國</w:t>
      </w:r>
      <w:proofErr w:type="gramStart"/>
      <w:r>
        <w:rPr>
          <w:rFonts w:ascii="標楷體" w:eastAsia="標楷體" w:hAnsi="標楷體" w:hint="eastAsia"/>
          <w:b/>
          <w:sz w:val="26"/>
          <w:szCs w:val="26"/>
        </w:rPr>
        <w:t>殖</w:t>
      </w:r>
      <w:proofErr w:type="gramEnd"/>
      <w:r>
        <w:rPr>
          <w:rFonts w:ascii="標楷體" w:eastAsia="標楷體" w:hAnsi="標楷體" w:hint="eastAsia"/>
          <w:b/>
          <w:sz w:val="26"/>
          <w:szCs w:val="26"/>
        </w:rPr>
        <w:t>利率曲線</w:t>
      </w:r>
    </w:p>
    <w:p w:rsidR="00D90764" w:rsidRDefault="00F92E9C" w:rsidP="00404D41">
      <w:pPr>
        <w:jc w:val="both"/>
        <w:rPr>
          <w:rFonts w:ascii="標楷體" w:eastAsia="標楷體" w:hAnsi="標楷體"/>
          <w:b/>
          <w:sz w:val="26"/>
          <w:szCs w:val="26"/>
        </w:rPr>
      </w:pPr>
      <w:r>
        <w:rPr>
          <w:noProof/>
        </w:rPr>
        <w:drawing>
          <wp:inline distT="0" distB="0" distL="0" distR="0">
            <wp:extent cx="5607050" cy="4014831"/>
            <wp:effectExtent l="0" t="0" r="0" b="0"/>
            <wp:docPr id="14" name="圖片 14" descr="C:\Users\bloomberg\AppData\Local\Temp\Bloomberg\Temp\bfm3B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loomberg\AppData\Local\Temp\Bloomberg\Temp\bfm3B72.gi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7050" cy="4014831"/>
                    </a:xfrm>
                    <a:prstGeom prst="rect">
                      <a:avLst/>
                    </a:prstGeom>
                    <a:noFill/>
                    <a:ln>
                      <a:noFill/>
                    </a:ln>
                  </pic:spPr>
                </pic:pic>
              </a:graphicData>
            </a:graphic>
          </wp:inline>
        </w:drawing>
      </w:r>
    </w:p>
    <w:p w:rsidR="00A01C65" w:rsidRDefault="00A01C65" w:rsidP="00404D41">
      <w:pPr>
        <w:jc w:val="both"/>
        <w:rPr>
          <w:rFonts w:ascii="標楷體" w:eastAsia="標楷體" w:hAnsi="標楷體"/>
          <w:b/>
          <w:sz w:val="26"/>
          <w:szCs w:val="26"/>
        </w:rPr>
      </w:pPr>
    </w:p>
    <w:p w:rsidR="00A01C65" w:rsidRDefault="00A01C65" w:rsidP="00404D41">
      <w:pPr>
        <w:jc w:val="both"/>
        <w:rPr>
          <w:rFonts w:ascii="標楷體" w:eastAsia="標楷體" w:hAnsi="標楷體"/>
          <w:b/>
          <w:sz w:val="26"/>
          <w:szCs w:val="26"/>
        </w:rPr>
      </w:pPr>
    </w:p>
    <w:p w:rsidR="00735CD5" w:rsidRDefault="00735CD5" w:rsidP="00404D41">
      <w:pPr>
        <w:jc w:val="both"/>
        <w:rPr>
          <w:rFonts w:ascii="標楷體" w:eastAsia="標楷體" w:hAnsi="標楷體"/>
          <w:b/>
          <w:sz w:val="26"/>
          <w:szCs w:val="26"/>
        </w:rPr>
      </w:pPr>
      <w:r>
        <w:rPr>
          <w:rFonts w:ascii="標楷體" w:eastAsia="標楷體" w:hAnsi="標楷體" w:hint="eastAsia"/>
          <w:b/>
          <w:sz w:val="26"/>
          <w:szCs w:val="26"/>
        </w:rPr>
        <w:lastRenderedPageBreak/>
        <w:t>經濟數據圖</w:t>
      </w:r>
    </w:p>
    <w:p w:rsidR="00735CD5" w:rsidRDefault="00735CD5" w:rsidP="00404D41">
      <w:pPr>
        <w:jc w:val="both"/>
        <w:rPr>
          <w:rFonts w:ascii="標楷體" w:eastAsia="標楷體" w:hAnsi="標楷體"/>
          <w:b/>
          <w:sz w:val="26"/>
          <w:szCs w:val="26"/>
        </w:rPr>
      </w:pPr>
      <w:r>
        <w:rPr>
          <w:rFonts w:ascii="標楷體" w:eastAsia="標楷體" w:hAnsi="標楷體" w:hint="eastAsia"/>
          <w:b/>
          <w:sz w:val="26"/>
          <w:szCs w:val="26"/>
        </w:rPr>
        <w:t>美國</w:t>
      </w:r>
      <w:r w:rsidR="00A01C65">
        <w:rPr>
          <w:rFonts w:ascii="標楷體" w:eastAsia="標楷體" w:hAnsi="標楷體" w:hint="eastAsia"/>
          <w:b/>
          <w:sz w:val="26"/>
          <w:szCs w:val="26"/>
        </w:rPr>
        <w:t xml:space="preserve">新屋銷售單戶住宅 </w:t>
      </w:r>
      <w:proofErr w:type="gramStart"/>
      <w:r w:rsidR="00A01C65">
        <w:rPr>
          <w:rFonts w:ascii="標楷體" w:eastAsia="標楷體" w:hAnsi="標楷體" w:hint="eastAsia"/>
          <w:b/>
          <w:sz w:val="26"/>
          <w:szCs w:val="26"/>
        </w:rPr>
        <w:t>經季調</w:t>
      </w:r>
      <w:proofErr w:type="gramEnd"/>
    </w:p>
    <w:p w:rsidR="008934D9" w:rsidRDefault="00F92E9C" w:rsidP="00404D41">
      <w:pPr>
        <w:jc w:val="both"/>
        <w:rPr>
          <w:rFonts w:ascii="標楷體" w:eastAsia="標楷體" w:hAnsi="標楷體"/>
          <w:b/>
          <w:sz w:val="26"/>
          <w:szCs w:val="26"/>
        </w:rPr>
      </w:pPr>
      <w:r>
        <w:rPr>
          <w:noProof/>
        </w:rPr>
        <w:drawing>
          <wp:inline distT="0" distB="0" distL="0" distR="0">
            <wp:extent cx="5607050" cy="4014831"/>
            <wp:effectExtent l="0" t="0" r="0" b="0"/>
            <wp:docPr id="15" name="圖片 15" descr="C:\Users\bloomberg\AppData\Local\Temp\Bloomberg\Temp\bfmEB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loomberg\AppData\Local\Temp\Bloomberg\Temp\bfmEB6B.gi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7050" cy="4014831"/>
                    </a:xfrm>
                    <a:prstGeom prst="rect">
                      <a:avLst/>
                    </a:prstGeom>
                    <a:noFill/>
                    <a:ln>
                      <a:noFill/>
                    </a:ln>
                  </pic:spPr>
                </pic:pic>
              </a:graphicData>
            </a:graphic>
          </wp:inline>
        </w:drawing>
      </w:r>
    </w:p>
    <w:p w:rsidR="00735CD5" w:rsidRDefault="00007333" w:rsidP="00404D41">
      <w:pPr>
        <w:jc w:val="both"/>
        <w:rPr>
          <w:rFonts w:ascii="標楷體" w:eastAsia="標楷體" w:hAnsi="標楷體"/>
          <w:b/>
          <w:sz w:val="26"/>
          <w:szCs w:val="26"/>
        </w:rPr>
      </w:pPr>
      <w:r>
        <w:rPr>
          <w:rFonts w:ascii="標楷體" w:eastAsia="標楷體" w:hAnsi="標楷體" w:hint="eastAsia"/>
          <w:b/>
          <w:sz w:val="26"/>
          <w:szCs w:val="26"/>
        </w:rPr>
        <w:t>美國</w:t>
      </w:r>
      <w:proofErr w:type="gramStart"/>
      <w:r w:rsidR="00A01C65">
        <w:rPr>
          <w:rFonts w:ascii="標楷體" w:eastAsia="標楷體" w:hAnsi="標楷體" w:hint="eastAsia"/>
          <w:b/>
          <w:sz w:val="26"/>
          <w:szCs w:val="26"/>
        </w:rPr>
        <w:t>耐久財新訂單</w:t>
      </w:r>
      <w:proofErr w:type="gramEnd"/>
      <w:r w:rsidR="00A01C65">
        <w:rPr>
          <w:rFonts w:ascii="標楷體" w:eastAsia="標楷體" w:hAnsi="標楷體" w:hint="eastAsia"/>
          <w:b/>
          <w:sz w:val="26"/>
          <w:szCs w:val="26"/>
        </w:rPr>
        <w:t xml:space="preserve">指數   </w:t>
      </w:r>
      <w:proofErr w:type="gramStart"/>
      <w:r w:rsidR="00A01C65">
        <w:rPr>
          <w:rFonts w:ascii="標楷體" w:eastAsia="標楷體" w:hAnsi="標楷體" w:hint="eastAsia"/>
          <w:b/>
          <w:sz w:val="26"/>
          <w:szCs w:val="26"/>
        </w:rPr>
        <w:t>經季調</w:t>
      </w:r>
      <w:proofErr w:type="gramEnd"/>
    </w:p>
    <w:p w:rsidR="00D90764" w:rsidRDefault="00F92E9C" w:rsidP="00404D41">
      <w:pPr>
        <w:jc w:val="both"/>
        <w:rPr>
          <w:rFonts w:ascii="標楷體" w:eastAsia="標楷體" w:hAnsi="標楷體"/>
          <w:b/>
          <w:sz w:val="26"/>
          <w:szCs w:val="26"/>
        </w:rPr>
      </w:pPr>
      <w:r>
        <w:rPr>
          <w:noProof/>
        </w:rPr>
        <w:drawing>
          <wp:inline distT="0" distB="0" distL="0" distR="0">
            <wp:extent cx="5607050" cy="4014831"/>
            <wp:effectExtent l="0" t="0" r="0" b="0"/>
            <wp:docPr id="16" name="圖片 16" descr="C:\Users\bloomberg\AppData\Local\Temp\Bloomberg\Temp\bfmA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loomberg\AppData\Local\Temp\Bloomberg\Temp\bfmA134.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7050" cy="4014831"/>
                    </a:xfrm>
                    <a:prstGeom prst="rect">
                      <a:avLst/>
                    </a:prstGeom>
                    <a:noFill/>
                    <a:ln>
                      <a:noFill/>
                    </a:ln>
                  </pic:spPr>
                </pic:pic>
              </a:graphicData>
            </a:graphic>
          </wp:inline>
        </w:drawing>
      </w:r>
    </w:p>
    <w:p w:rsidR="008934D9" w:rsidRDefault="009A763C" w:rsidP="00404D41">
      <w:pPr>
        <w:jc w:val="both"/>
        <w:rPr>
          <w:rFonts w:ascii="標楷體" w:eastAsia="標楷體" w:hAnsi="標楷體"/>
          <w:b/>
          <w:sz w:val="26"/>
          <w:szCs w:val="26"/>
        </w:rPr>
      </w:pPr>
      <w:r w:rsidRPr="009A763C">
        <w:rPr>
          <w:rFonts w:ascii="標楷體" w:eastAsia="標楷體" w:hAnsi="標楷體" w:hint="eastAsia"/>
          <w:b/>
          <w:sz w:val="26"/>
          <w:szCs w:val="26"/>
        </w:rPr>
        <w:lastRenderedPageBreak/>
        <w:t>美國</w:t>
      </w:r>
      <w:r w:rsidR="00A01C65">
        <w:rPr>
          <w:rFonts w:ascii="標楷體" w:eastAsia="標楷體" w:hAnsi="標楷體" w:hint="eastAsia"/>
          <w:b/>
          <w:sz w:val="26"/>
          <w:szCs w:val="26"/>
        </w:rPr>
        <w:t>個人消費核心物價指數</w:t>
      </w:r>
    </w:p>
    <w:p w:rsidR="008934D9" w:rsidRDefault="00F92E9C" w:rsidP="00404D41">
      <w:pPr>
        <w:jc w:val="both"/>
        <w:rPr>
          <w:rFonts w:ascii="標楷體" w:eastAsia="標楷體" w:hAnsi="標楷體"/>
          <w:b/>
          <w:sz w:val="26"/>
          <w:szCs w:val="26"/>
        </w:rPr>
      </w:pPr>
      <w:r>
        <w:rPr>
          <w:noProof/>
        </w:rPr>
        <w:drawing>
          <wp:inline distT="0" distB="0" distL="0" distR="0">
            <wp:extent cx="5607050" cy="4014831"/>
            <wp:effectExtent l="0" t="0" r="0" b="0"/>
            <wp:docPr id="17" name="圖片 17" descr="C:\Users\bloomberg\AppData\Local\Temp\Bloomberg\Temp\bfm4FB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loomberg\AppData\Local\Temp\Bloomberg\Temp\bfm4FBC.gif"/>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7050" cy="4014831"/>
                    </a:xfrm>
                    <a:prstGeom prst="rect">
                      <a:avLst/>
                    </a:prstGeom>
                    <a:noFill/>
                    <a:ln>
                      <a:noFill/>
                    </a:ln>
                  </pic:spPr>
                </pic:pic>
              </a:graphicData>
            </a:graphic>
          </wp:inline>
        </w:drawing>
      </w:r>
    </w:p>
    <w:p w:rsidR="00735CD5" w:rsidRDefault="00735CD5" w:rsidP="00404D41">
      <w:pPr>
        <w:jc w:val="both"/>
        <w:rPr>
          <w:rFonts w:ascii="標楷體" w:eastAsia="標楷體" w:hAnsi="標楷體"/>
          <w:b/>
          <w:sz w:val="26"/>
          <w:szCs w:val="26"/>
        </w:rPr>
      </w:pPr>
    </w:p>
    <w:p w:rsidR="00735CD5" w:rsidRDefault="00A01C65" w:rsidP="00404D41">
      <w:pPr>
        <w:jc w:val="both"/>
        <w:rPr>
          <w:rFonts w:ascii="標楷體" w:eastAsia="標楷體" w:hAnsi="標楷體"/>
          <w:b/>
          <w:sz w:val="26"/>
          <w:szCs w:val="26"/>
        </w:rPr>
      </w:pPr>
      <w:r>
        <w:rPr>
          <w:rFonts w:ascii="標楷體" w:eastAsia="標楷體" w:hAnsi="標楷體" w:hint="eastAsia"/>
          <w:b/>
          <w:sz w:val="26"/>
          <w:szCs w:val="26"/>
        </w:rPr>
        <w:t>台灣實質工業生產</w:t>
      </w:r>
      <w:r w:rsidR="009A763C" w:rsidRPr="009A763C">
        <w:rPr>
          <w:rFonts w:ascii="標楷體" w:eastAsia="標楷體" w:hAnsi="標楷體" w:hint="eastAsia"/>
          <w:b/>
          <w:sz w:val="26"/>
          <w:szCs w:val="26"/>
        </w:rPr>
        <w:t>指數</w:t>
      </w:r>
    </w:p>
    <w:p w:rsidR="008934D9" w:rsidRDefault="00AC3A9E" w:rsidP="00404D41">
      <w:pPr>
        <w:jc w:val="both"/>
        <w:rPr>
          <w:rFonts w:ascii="標楷體" w:eastAsia="標楷體" w:hAnsi="標楷體"/>
          <w:b/>
          <w:sz w:val="26"/>
          <w:szCs w:val="26"/>
        </w:rPr>
      </w:pPr>
      <w:r>
        <w:rPr>
          <w:noProof/>
        </w:rPr>
        <w:drawing>
          <wp:inline distT="0" distB="0" distL="0" distR="0">
            <wp:extent cx="5607050" cy="4014831"/>
            <wp:effectExtent l="0" t="0" r="0" b="0"/>
            <wp:docPr id="18" name="圖片 18" descr="C:\Users\bloomberg\AppData\Local\Temp\Bloomberg\Temp\bfm2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bloomberg\AppData\Local\Temp\Bloomberg\Temp\bfm2160.gif"/>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7050" cy="4014831"/>
                    </a:xfrm>
                    <a:prstGeom prst="rect">
                      <a:avLst/>
                    </a:prstGeom>
                    <a:noFill/>
                    <a:ln>
                      <a:noFill/>
                    </a:ln>
                  </pic:spPr>
                </pic:pic>
              </a:graphicData>
            </a:graphic>
          </wp:inline>
        </w:drawing>
      </w:r>
      <w:r w:rsidR="009A763C">
        <w:rPr>
          <w:rFonts w:ascii="標楷體" w:eastAsia="標楷體" w:hAnsi="標楷體" w:hint="eastAsia"/>
          <w:b/>
          <w:sz w:val="26"/>
          <w:szCs w:val="26"/>
        </w:rPr>
        <w:t xml:space="preserve"> </w:t>
      </w:r>
    </w:p>
    <w:p w:rsidR="00841277" w:rsidRDefault="00735CD5" w:rsidP="00404D41">
      <w:pPr>
        <w:jc w:val="both"/>
        <w:rPr>
          <w:rFonts w:ascii="標楷體" w:eastAsia="標楷體" w:hAnsi="標楷體"/>
          <w:b/>
          <w:sz w:val="26"/>
          <w:szCs w:val="26"/>
        </w:rPr>
      </w:pPr>
      <w:r>
        <w:rPr>
          <w:rFonts w:ascii="標楷體" w:eastAsia="標楷體" w:hAnsi="標楷體" w:hint="eastAsia"/>
          <w:b/>
          <w:sz w:val="26"/>
          <w:szCs w:val="26"/>
        </w:rPr>
        <w:lastRenderedPageBreak/>
        <w:t>經濟數據預估</w:t>
      </w:r>
    </w:p>
    <w:tbl>
      <w:tblPr>
        <w:tblW w:w="9460" w:type="dxa"/>
        <w:tblInd w:w="13" w:type="dxa"/>
        <w:tblCellMar>
          <w:left w:w="28" w:type="dxa"/>
          <w:right w:w="28" w:type="dxa"/>
        </w:tblCellMar>
        <w:tblLook w:val="04A0"/>
      </w:tblPr>
      <w:tblGrid>
        <w:gridCol w:w="1320"/>
        <w:gridCol w:w="500"/>
        <w:gridCol w:w="3440"/>
        <w:gridCol w:w="1340"/>
        <w:gridCol w:w="940"/>
        <w:gridCol w:w="800"/>
        <w:gridCol w:w="1120"/>
      </w:tblGrid>
      <w:tr w:rsidR="00A01C65" w:rsidRPr="00AC3A9E" w:rsidTr="00A01C65">
        <w:trPr>
          <w:trHeight w:val="330"/>
        </w:trPr>
        <w:tc>
          <w:tcPr>
            <w:tcW w:w="1320" w:type="dxa"/>
            <w:tcBorders>
              <w:top w:val="single" w:sz="4" w:space="0" w:color="auto"/>
              <w:left w:val="single" w:sz="4" w:space="0" w:color="auto"/>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Date</w:t>
            </w:r>
          </w:p>
        </w:tc>
        <w:tc>
          <w:tcPr>
            <w:tcW w:w="500" w:type="dxa"/>
            <w:tcBorders>
              <w:top w:val="single" w:sz="4" w:space="0" w:color="auto"/>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p>
        </w:tc>
        <w:tc>
          <w:tcPr>
            <w:tcW w:w="3440" w:type="dxa"/>
            <w:tcBorders>
              <w:top w:val="single" w:sz="4" w:space="0" w:color="auto"/>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Event</w:t>
            </w:r>
          </w:p>
        </w:tc>
        <w:tc>
          <w:tcPr>
            <w:tcW w:w="1340" w:type="dxa"/>
            <w:tcBorders>
              <w:top w:val="single" w:sz="4" w:space="0" w:color="auto"/>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p>
        </w:tc>
        <w:tc>
          <w:tcPr>
            <w:tcW w:w="940" w:type="dxa"/>
            <w:tcBorders>
              <w:top w:val="single" w:sz="4" w:space="0" w:color="auto"/>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Survey</w:t>
            </w:r>
          </w:p>
        </w:tc>
        <w:tc>
          <w:tcPr>
            <w:tcW w:w="800" w:type="dxa"/>
            <w:tcBorders>
              <w:top w:val="single" w:sz="4" w:space="0" w:color="auto"/>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Actual</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Prior</w:t>
            </w:r>
          </w:p>
        </w:tc>
      </w:tr>
      <w:tr w:rsidR="00A01C65" w:rsidRPr="00AC3A9E" w:rsidTr="00A01C65">
        <w:trPr>
          <w:trHeight w:val="330"/>
        </w:trPr>
        <w:tc>
          <w:tcPr>
            <w:tcW w:w="1320" w:type="dxa"/>
            <w:tcBorders>
              <w:top w:val="single" w:sz="4" w:space="0" w:color="auto"/>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01/06/2014</w:t>
            </w:r>
          </w:p>
        </w:tc>
        <w:tc>
          <w:tcPr>
            <w:tcW w:w="50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CH</w:t>
            </w:r>
          </w:p>
        </w:tc>
        <w:tc>
          <w:tcPr>
            <w:tcW w:w="344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proofErr w:type="gramStart"/>
            <w:r w:rsidRPr="00AC3A9E">
              <w:rPr>
                <w:rFonts w:ascii="新細明體" w:hAnsi="新細明體" w:cs="新細明體" w:hint="eastAsia"/>
                <w:color w:val="000000"/>
                <w:kern w:val="0"/>
                <w:szCs w:val="24"/>
              </w:rPr>
              <w:t>匯</w:t>
            </w:r>
            <w:proofErr w:type="gramEnd"/>
            <w:r w:rsidRPr="00AC3A9E">
              <w:rPr>
                <w:rFonts w:ascii="新細明體" w:hAnsi="新細明體" w:cs="新細明體" w:hint="eastAsia"/>
                <w:color w:val="000000"/>
                <w:kern w:val="0"/>
                <w:szCs w:val="24"/>
              </w:rPr>
              <w:t>豐/</w:t>
            </w:r>
            <w:proofErr w:type="spellStart"/>
            <w:r w:rsidRPr="00AC3A9E">
              <w:rPr>
                <w:rFonts w:ascii="新細明體" w:hAnsi="新細明體" w:cs="新細明體" w:hint="eastAsia"/>
                <w:color w:val="000000"/>
                <w:kern w:val="0"/>
                <w:szCs w:val="24"/>
              </w:rPr>
              <w:t>Markit</w:t>
            </w:r>
            <w:proofErr w:type="spellEnd"/>
            <w:r w:rsidRPr="00AC3A9E">
              <w:rPr>
                <w:rFonts w:ascii="新細明體" w:hAnsi="新細明體" w:cs="新細明體" w:hint="eastAsia"/>
                <w:color w:val="000000"/>
                <w:kern w:val="0"/>
                <w:szCs w:val="24"/>
              </w:rPr>
              <w:t>服務業PMI</w:t>
            </w:r>
          </w:p>
        </w:tc>
        <w:tc>
          <w:tcPr>
            <w:tcW w:w="134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Dec</w:t>
            </w:r>
          </w:p>
        </w:tc>
        <w:tc>
          <w:tcPr>
            <w:tcW w:w="940" w:type="dxa"/>
            <w:tcBorders>
              <w:top w:val="single" w:sz="4" w:space="0" w:color="auto"/>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80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single" w:sz="4" w:space="0" w:color="auto"/>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52.5</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01/01/2014</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CH</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製造業PMI</w:t>
            </w:r>
          </w:p>
        </w:tc>
        <w:tc>
          <w:tcPr>
            <w:tcW w:w="13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Dec</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51.2</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51.4</w:t>
            </w:r>
          </w:p>
        </w:tc>
      </w:tr>
      <w:tr w:rsidR="00A01C65" w:rsidRPr="00AC3A9E" w:rsidTr="00A01C65">
        <w:trPr>
          <w:trHeight w:val="330"/>
        </w:trPr>
        <w:tc>
          <w:tcPr>
            <w:tcW w:w="1320" w:type="dxa"/>
            <w:tcBorders>
              <w:top w:val="nil"/>
              <w:left w:val="single" w:sz="4" w:space="0" w:color="auto"/>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12/27/2013</w:t>
            </w:r>
          </w:p>
        </w:tc>
        <w:tc>
          <w:tcPr>
            <w:tcW w:w="50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CH</w:t>
            </w:r>
          </w:p>
        </w:tc>
        <w:tc>
          <w:tcPr>
            <w:tcW w:w="344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年至今工業利潤(年比)</w:t>
            </w:r>
          </w:p>
        </w:tc>
        <w:tc>
          <w:tcPr>
            <w:tcW w:w="134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Nov</w:t>
            </w:r>
          </w:p>
        </w:tc>
        <w:tc>
          <w:tcPr>
            <w:tcW w:w="940" w:type="dxa"/>
            <w:tcBorders>
              <w:top w:val="nil"/>
              <w:left w:val="nil"/>
              <w:bottom w:val="single" w:sz="4" w:space="0" w:color="auto"/>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80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single" w:sz="4" w:space="0" w:color="auto"/>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13.70%</w:t>
            </w:r>
          </w:p>
        </w:tc>
      </w:tr>
      <w:tr w:rsidR="00A01C65" w:rsidRPr="00AC3A9E" w:rsidTr="00A01C65">
        <w:trPr>
          <w:trHeight w:val="330"/>
        </w:trPr>
        <w:tc>
          <w:tcPr>
            <w:tcW w:w="1320" w:type="dxa"/>
            <w:tcBorders>
              <w:top w:val="single" w:sz="4" w:space="0" w:color="auto"/>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01/06/2014</w:t>
            </w:r>
          </w:p>
        </w:tc>
        <w:tc>
          <w:tcPr>
            <w:tcW w:w="50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EC</w:t>
            </w:r>
          </w:p>
        </w:tc>
        <w:tc>
          <w:tcPr>
            <w:tcW w:w="344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採購經理人指數-服務業</w:t>
            </w:r>
          </w:p>
        </w:tc>
        <w:tc>
          <w:tcPr>
            <w:tcW w:w="134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Dec F</w:t>
            </w:r>
          </w:p>
        </w:tc>
        <w:tc>
          <w:tcPr>
            <w:tcW w:w="940" w:type="dxa"/>
            <w:tcBorders>
              <w:top w:val="single" w:sz="4" w:space="0" w:color="auto"/>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51</w:t>
            </w:r>
          </w:p>
        </w:tc>
        <w:tc>
          <w:tcPr>
            <w:tcW w:w="80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single" w:sz="4" w:space="0" w:color="auto"/>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51</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01/02/2014</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EC</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採購經理人指數-製造業</w:t>
            </w:r>
          </w:p>
        </w:tc>
        <w:tc>
          <w:tcPr>
            <w:tcW w:w="13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Dec F</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52.7</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52.7</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01/07/2014</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EC</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PPI(月比)</w:t>
            </w:r>
          </w:p>
        </w:tc>
        <w:tc>
          <w:tcPr>
            <w:tcW w:w="13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Nov</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-0.50%</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01/07/2014</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EC</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核心CPI(年比)</w:t>
            </w:r>
          </w:p>
        </w:tc>
        <w:tc>
          <w:tcPr>
            <w:tcW w:w="13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Dec A</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01/08/2014</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EC</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零售銷售(月比)</w:t>
            </w:r>
          </w:p>
        </w:tc>
        <w:tc>
          <w:tcPr>
            <w:tcW w:w="13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Nov</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-0.20%</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01/08/2014</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EC</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失業率</w:t>
            </w:r>
          </w:p>
        </w:tc>
        <w:tc>
          <w:tcPr>
            <w:tcW w:w="13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Nov</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12.10%</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12.10%</w:t>
            </w:r>
          </w:p>
        </w:tc>
      </w:tr>
      <w:tr w:rsidR="00A01C65" w:rsidRPr="00AC3A9E" w:rsidTr="00A01C65">
        <w:trPr>
          <w:trHeight w:val="330"/>
        </w:trPr>
        <w:tc>
          <w:tcPr>
            <w:tcW w:w="1320" w:type="dxa"/>
            <w:tcBorders>
              <w:top w:val="nil"/>
              <w:left w:val="single" w:sz="4" w:space="0" w:color="auto"/>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01/08/2014</w:t>
            </w:r>
          </w:p>
        </w:tc>
        <w:tc>
          <w:tcPr>
            <w:tcW w:w="50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EC</w:t>
            </w:r>
          </w:p>
        </w:tc>
        <w:tc>
          <w:tcPr>
            <w:tcW w:w="344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零售銷售(年比)</w:t>
            </w:r>
          </w:p>
        </w:tc>
        <w:tc>
          <w:tcPr>
            <w:tcW w:w="134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Nov</w:t>
            </w:r>
          </w:p>
        </w:tc>
        <w:tc>
          <w:tcPr>
            <w:tcW w:w="940" w:type="dxa"/>
            <w:tcBorders>
              <w:top w:val="nil"/>
              <w:left w:val="nil"/>
              <w:bottom w:val="single" w:sz="4" w:space="0" w:color="auto"/>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80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single" w:sz="4" w:space="0" w:color="auto"/>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-0.10%</w:t>
            </w:r>
          </w:p>
        </w:tc>
      </w:tr>
      <w:tr w:rsidR="00A01C65" w:rsidRPr="00AC3A9E" w:rsidTr="00A01C65">
        <w:trPr>
          <w:trHeight w:val="330"/>
        </w:trPr>
        <w:tc>
          <w:tcPr>
            <w:tcW w:w="1320" w:type="dxa"/>
            <w:tcBorders>
              <w:top w:val="single" w:sz="4" w:space="0" w:color="auto"/>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12/27/2013</w:t>
            </w:r>
          </w:p>
        </w:tc>
        <w:tc>
          <w:tcPr>
            <w:tcW w:w="50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JN</w:t>
            </w:r>
          </w:p>
        </w:tc>
        <w:tc>
          <w:tcPr>
            <w:tcW w:w="344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失業率</w:t>
            </w:r>
          </w:p>
        </w:tc>
        <w:tc>
          <w:tcPr>
            <w:tcW w:w="134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Nov</w:t>
            </w:r>
          </w:p>
        </w:tc>
        <w:tc>
          <w:tcPr>
            <w:tcW w:w="940" w:type="dxa"/>
            <w:tcBorders>
              <w:top w:val="single" w:sz="4" w:space="0" w:color="auto"/>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3.90%</w:t>
            </w:r>
          </w:p>
        </w:tc>
        <w:tc>
          <w:tcPr>
            <w:tcW w:w="80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single" w:sz="4" w:space="0" w:color="auto"/>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4.00%</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12/27/2013</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JN</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全國消費者物價指數 年比</w:t>
            </w:r>
          </w:p>
        </w:tc>
        <w:tc>
          <w:tcPr>
            <w:tcW w:w="13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Nov</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1.50%</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1.10%</w:t>
            </w:r>
          </w:p>
        </w:tc>
      </w:tr>
      <w:tr w:rsidR="00A01C65" w:rsidRPr="00AC3A9E" w:rsidTr="00A01C65">
        <w:trPr>
          <w:trHeight w:val="330"/>
        </w:trPr>
        <w:tc>
          <w:tcPr>
            <w:tcW w:w="1320" w:type="dxa"/>
            <w:tcBorders>
              <w:top w:val="nil"/>
              <w:left w:val="single" w:sz="4" w:space="0" w:color="auto"/>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12/27/2013</w:t>
            </w:r>
          </w:p>
        </w:tc>
        <w:tc>
          <w:tcPr>
            <w:tcW w:w="50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JN</w:t>
            </w:r>
          </w:p>
        </w:tc>
        <w:tc>
          <w:tcPr>
            <w:tcW w:w="344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全國CPI(不含生鮮食品)(年比)</w:t>
            </w:r>
          </w:p>
        </w:tc>
        <w:tc>
          <w:tcPr>
            <w:tcW w:w="134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Nov</w:t>
            </w:r>
          </w:p>
        </w:tc>
        <w:tc>
          <w:tcPr>
            <w:tcW w:w="940" w:type="dxa"/>
            <w:tcBorders>
              <w:top w:val="nil"/>
              <w:left w:val="nil"/>
              <w:bottom w:val="single" w:sz="4" w:space="0" w:color="auto"/>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1.10%</w:t>
            </w:r>
          </w:p>
        </w:tc>
        <w:tc>
          <w:tcPr>
            <w:tcW w:w="80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single" w:sz="4" w:space="0" w:color="auto"/>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0.90%</w:t>
            </w:r>
          </w:p>
        </w:tc>
      </w:tr>
      <w:tr w:rsidR="00A01C65" w:rsidRPr="00AC3A9E" w:rsidTr="00A01C65">
        <w:trPr>
          <w:trHeight w:val="330"/>
        </w:trPr>
        <w:tc>
          <w:tcPr>
            <w:tcW w:w="1320" w:type="dxa"/>
            <w:tcBorders>
              <w:top w:val="single" w:sz="4" w:space="0" w:color="auto"/>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01/07/2014</w:t>
            </w:r>
          </w:p>
        </w:tc>
        <w:tc>
          <w:tcPr>
            <w:tcW w:w="50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TA</w:t>
            </w:r>
          </w:p>
        </w:tc>
        <w:tc>
          <w:tcPr>
            <w:tcW w:w="344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出口(年比)</w:t>
            </w:r>
          </w:p>
        </w:tc>
        <w:tc>
          <w:tcPr>
            <w:tcW w:w="134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Dec</w:t>
            </w:r>
          </w:p>
        </w:tc>
        <w:tc>
          <w:tcPr>
            <w:tcW w:w="940" w:type="dxa"/>
            <w:tcBorders>
              <w:top w:val="single" w:sz="4" w:space="0" w:color="auto"/>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80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single" w:sz="4" w:space="0" w:color="auto"/>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0.00%</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12/25/2013</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TA</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貨幣供給M1B(年比)</w:t>
            </w:r>
          </w:p>
        </w:tc>
        <w:tc>
          <w:tcPr>
            <w:tcW w:w="13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Nov</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8.58%</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12/25/2013</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TA</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貨幣供給M2(年比)</w:t>
            </w:r>
          </w:p>
        </w:tc>
        <w:tc>
          <w:tcPr>
            <w:tcW w:w="13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Nov</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5.99%</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01/06/2014</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TA</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CPI(年比)</w:t>
            </w:r>
          </w:p>
        </w:tc>
        <w:tc>
          <w:tcPr>
            <w:tcW w:w="13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Dec</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0.90%</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0.67%</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01/07/2014</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TA</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進口(年比)</w:t>
            </w:r>
          </w:p>
        </w:tc>
        <w:tc>
          <w:tcPr>
            <w:tcW w:w="13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Dec</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-0.50%</w:t>
            </w:r>
          </w:p>
        </w:tc>
      </w:tr>
      <w:tr w:rsidR="00A01C65" w:rsidRPr="00AC3A9E" w:rsidTr="00A01C65">
        <w:trPr>
          <w:trHeight w:val="330"/>
        </w:trPr>
        <w:tc>
          <w:tcPr>
            <w:tcW w:w="1320" w:type="dxa"/>
            <w:tcBorders>
              <w:top w:val="nil"/>
              <w:left w:val="single" w:sz="4" w:space="0" w:color="auto"/>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01/02/2014</w:t>
            </w:r>
          </w:p>
        </w:tc>
        <w:tc>
          <w:tcPr>
            <w:tcW w:w="50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TA</w:t>
            </w:r>
          </w:p>
        </w:tc>
        <w:tc>
          <w:tcPr>
            <w:tcW w:w="344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proofErr w:type="gramStart"/>
            <w:r w:rsidRPr="00AC3A9E">
              <w:rPr>
                <w:rFonts w:ascii="新細明體" w:hAnsi="新細明體" w:cs="新細明體" w:hint="eastAsia"/>
                <w:color w:val="000000"/>
                <w:kern w:val="0"/>
                <w:szCs w:val="24"/>
              </w:rPr>
              <w:t>匯</w:t>
            </w:r>
            <w:proofErr w:type="gramEnd"/>
            <w:r w:rsidRPr="00AC3A9E">
              <w:rPr>
                <w:rFonts w:ascii="新細明體" w:hAnsi="新細明體" w:cs="新細明體" w:hint="eastAsia"/>
                <w:color w:val="000000"/>
                <w:kern w:val="0"/>
                <w:szCs w:val="24"/>
              </w:rPr>
              <w:t>豐/</w:t>
            </w:r>
            <w:proofErr w:type="spellStart"/>
            <w:r w:rsidRPr="00AC3A9E">
              <w:rPr>
                <w:rFonts w:ascii="新細明體" w:hAnsi="新細明體" w:cs="新細明體" w:hint="eastAsia"/>
                <w:color w:val="000000"/>
                <w:kern w:val="0"/>
                <w:szCs w:val="24"/>
              </w:rPr>
              <w:t>Markit</w:t>
            </w:r>
            <w:proofErr w:type="spellEnd"/>
            <w:r w:rsidRPr="00AC3A9E">
              <w:rPr>
                <w:rFonts w:ascii="新細明體" w:hAnsi="新細明體" w:cs="新細明體" w:hint="eastAsia"/>
                <w:color w:val="000000"/>
                <w:kern w:val="0"/>
                <w:szCs w:val="24"/>
              </w:rPr>
              <w:t>製造業PMI</w:t>
            </w:r>
          </w:p>
        </w:tc>
        <w:tc>
          <w:tcPr>
            <w:tcW w:w="134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Dec</w:t>
            </w:r>
          </w:p>
        </w:tc>
        <w:tc>
          <w:tcPr>
            <w:tcW w:w="940" w:type="dxa"/>
            <w:tcBorders>
              <w:top w:val="nil"/>
              <w:left w:val="nil"/>
              <w:bottom w:val="single" w:sz="4" w:space="0" w:color="auto"/>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80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single" w:sz="4" w:space="0" w:color="auto"/>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53.4</w:t>
            </w:r>
          </w:p>
        </w:tc>
      </w:tr>
      <w:tr w:rsidR="00A01C65" w:rsidRPr="00AC3A9E" w:rsidTr="00A01C65">
        <w:trPr>
          <w:trHeight w:val="330"/>
        </w:trPr>
        <w:tc>
          <w:tcPr>
            <w:tcW w:w="1320" w:type="dxa"/>
            <w:tcBorders>
              <w:top w:val="single" w:sz="4" w:space="0" w:color="auto"/>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12/30/2013</w:t>
            </w:r>
          </w:p>
        </w:tc>
        <w:tc>
          <w:tcPr>
            <w:tcW w:w="50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US</w:t>
            </w:r>
          </w:p>
        </w:tc>
        <w:tc>
          <w:tcPr>
            <w:tcW w:w="344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成屋待完成銷售年比</w:t>
            </w:r>
          </w:p>
        </w:tc>
        <w:tc>
          <w:tcPr>
            <w:tcW w:w="134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Nov</w:t>
            </w:r>
          </w:p>
        </w:tc>
        <w:tc>
          <w:tcPr>
            <w:tcW w:w="940" w:type="dxa"/>
            <w:tcBorders>
              <w:top w:val="single" w:sz="4" w:space="0" w:color="auto"/>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-0.20%</w:t>
            </w:r>
          </w:p>
        </w:tc>
        <w:tc>
          <w:tcPr>
            <w:tcW w:w="80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single" w:sz="4" w:space="0" w:color="auto"/>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-2.20%</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01/02/2014</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US</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首次申請失業救濟金人數</w:t>
            </w:r>
          </w:p>
        </w:tc>
        <w:tc>
          <w:tcPr>
            <w:tcW w:w="13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28-Dec</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01/08/2014</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US</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ADP 就業變動</w:t>
            </w:r>
          </w:p>
        </w:tc>
        <w:tc>
          <w:tcPr>
            <w:tcW w:w="13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Dec</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195K</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215K</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12/26/2013</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US</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連續申請失業救濟金人數</w:t>
            </w:r>
          </w:p>
        </w:tc>
        <w:tc>
          <w:tcPr>
            <w:tcW w:w="13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14-Dec</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2827K</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2884K</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12/26/2013</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US</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首次申請失業救濟金人數</w:t>
            </w:r>
            <w:bookmarkStart w:id="0" w:name="_GoBack"/>
            <w:bookmarkEnd w:id="0"/>
          </w:p>
        </w:tc>
        <w:tc>
          <w:tcPr>
            <w:tcW w:w="13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21-Dec</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345K</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379K</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12/31/2013</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US</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芝加哥採購經理人指數</w:t>
            </w:r>
          </w:p>
        </w:tc>
        <w:tc>
          <w:tcPr>
            <w:tcW w:w="13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Dec</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61</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63</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12/31/2013</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US</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消費者信心指數</w:t>
            </w:r>
          </w:p>
        </w:tc>
        <w:tc>
          <w:tcPr>
            <w:tcW w:w="13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Dec</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76</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70.4</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01/06/2014</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US</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ISM 非製造業綜合指數</w:t>
            </w:r>
          </w:p>
        </w:tc>
        <w:tc>
          <w:tcPr>
            <w:tcW w:w="13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Dec</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54.5</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53.9</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01/02/2014</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US</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連續申請失業救濟金人數</w:t>
            </w:r>
          </w:p>
        </w:tc>
        <w:tc>
          <w:tcPr>
            <w:tcW w:w="13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21-Dec</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01/02/2014</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US</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proofErr w:type="spellStart"/>
            <w:r w:rsidRPr="00AC3A9E">
              <w:rPr>
                <w:rFonts w:ascii="新細明體" w:hAnsi="新細明體" w:cs="新細明體" w:hint="eastAsia"/>
                <w:color w:val="000000"/>
                <w:kern w:val="0"/>
                <w:szCs w:val="24"/>
              </w:rPr>
              <w:t>Markit</w:t>
            </w:r>
            <w:proofErr w:type="spellEnd"/>
            <w:r w:rsidRPr="00AC3A9E">
              <w:rPr>
                <w:rFonts w:ascii="新細明體" w:hAnsi="新細明體" w:cs="新細明體" w:hint="eastAsia"/>
                <w:color w:val="000000"/>
                <w:kern w:val="0"/>
                <w:szCs w:val="24"/>
              </w:rPr>
              <w:t>美國PMI最終</w:t>
            </w:r>
          </w:p>
        </w:tc>
        <w:tc>
          <w:tcPr>
            <w:tcW w:w="13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Dec</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54.8</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54.7</w:t>
            </w:r>
          </w:p>
        </w:tc>
      </w:tr>
      <w:tr w:rsidR="00A01C65" w:rsidRPr="00AC3A9E" w:rsidTr="00A01C65">
        <w:trPr>
          <w:trHeight w:val="330"/>
        </w:trPr>
        <w:tc>
          <w:tcPr>
            <w:tcW w:w="1320" w:type="dxa"/>
            <w:tcBorders>
              <w:top w:val="nil"/>
              <w:left w:val="single" w:sz="4" w:space="0" w:color="auto"/>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01/02/2014</w:t>
            </w:r>
          </w:p>
        </w:tc>
        <w:tc>
          <w:tcPr>
            <w:tcW w:w="5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US</w:t>
            </w:r>
          </w:p>
        </w:tc>
        <w:tc>
          <w:tcPr>
            <w:tcW w:w="34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ISM 製造業指數</w:t>
            </w:r>
          </w:p>
        </w:tc>
        <w:tc>
          <w:tcPr>
            <w:tcW w:w="134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Dec</w:t>
            </w:r>
          </w:p>
        </w:tc>
        <w:tc>
          <w:tcPr>
            <w:tcW w:w="940" w:type="dxa"/>
            <w:tcBorders>
              <w:top w:val="nil"/>
              <w:left w:val="nil"/>
              <w:bottom w:val="nil"/>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56.9</w:t>
            </w:r>
          </w:p>
        </w:tc>
        <w:tc>
          <w:tcPr>
            <w:tcW w:w="800" w:type="dxa"/>
            <w:tcBorders>
              <w:top w:val="nil"/>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nil"/>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57.3</w:t>
            </w:r>
          </w:p>
        </w:tc>
      </w:tr>
      <w:tr w:rsidR="00A01C65" w:rsidRPr="00AC3A9E" w:rsidTr="00A01C65">
        <w:trPr>
          <w:trHeight w:val="330"/>
        </w:trPr>
        <w:tc>
          <w:tcPr>
            <w:tcW w:w="1320" w:type="dxa"/>
            <w:tcBorders>
              <w:top w:val="nil"/>
              <w:left w:val="single" w:sz="4" w:space="0" w:color="auto"/>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01/02/2014</w:t>
            </w:r>
          </w:p>
        </w:tc>
        <w:tc>
          <w:tcPr>
            <w:tcW w:w="50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US</w:t>
            </w:r>
          </w:p>
        </w:tc>
        <w:tc>
          <w:tcPr>
            <w:tcW w:w="344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ISM 銷售價格指數</w:t>
            </w:r>
          </w:p>
        </w:tc>
        <w:tc>
          <w:tcPr>
            <w:tcW w:w="134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Dec</w:t>
            </w:r>
          </w:p>
        </w:tc>
        <w:tc>
          <w:tcPr>
            <w:tcW w:w="940" w:type="dxa"/>
            <w:tcBorders>
              <w:top w:val="nil"/>
              <w:left w:val="nil"/>
              <w:bottom w:val="single" w:sz="4" w:space="0" w:color="auto"/>
              <w:right w:val="nil"/>
            </w:tcBorders>
            <w:shd w:val="clear" w:color="auto" w:fill="auto"/>
            <w:vAlign w:val="center"/>
            <w:hideMark/>
          </w:tcPr>
          <w:p w:rsidR="00A01C65" w:rsidRPr="00AC3A9E" w:rsidRDefault="00A01C65" w:rsidP="00A01C65">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52.8</w:t>
            </w:r>
          </w:p>
        </w:tc>
        <w:tc>
          <w:tcPr>
            <w:tcW w:w="800" w:type="dxa"/>
            <w:tcBorders>
              <w:top w:val="nil"/>
              <w:left w:val="nil"/>
              <w:bottom w:val="single" w:sz="4" w:space="0" w:color="auto"/>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r w:rsidRPr="00AC3A9E">
              <w:rPr>
                <w:rFonts w:ascii="新細明體" w:hAnsi="新細明體" w:cs="新細明體" w:hint="eastAsia"/>
                <w:color w:val="000000"/>
                <w:kern w:val="0"/>
                <w:szCs w:val="24"/>
              </w:rPr>
              <w:t>--</w:t>
            </w:r>
          </w:p>
        </w:tc>
        <w:tc>
          <w:tcPr>
            <w:tcW w:w="1120" w:type="dxa"/>
            <w:tcBorders>
              <w:top w:val="nil"/>
              <w:left w:val="nil"/>
              <w:bottom w:val="single" w:sz="4" w:space="0" w:color="auto"/>
              <w:right w:val="single" w:sz="4" w:space="0" w:color="auto"/>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r w:rsidRPr="00AC3A9E">
              <w:rPr>
                <w:rFonts w:ascii="新細明體" w:hAnsi="新細明體" w:cs="新細明體" w:hint="eastAsia"/>
                <w:color w:val="000000"/>
                <w:kern w:val="0"/>
                <w:szCs w:val="24"/>
              </w:rPr>
              <w:t>52.5</w:t>
            </w:r>
          </w:p>
        </w:tc>
      </w:tr>
      <w:tr w:rsidR="00A01C65" w:rsidRPr="00AC3A9E" w:rsidTr="00A01C65">
        <w:trPr>
          <w:trHeight w:val="330"/>
        </w:trPr>
        <w:tc>
          <w:tcPr>
            <w:tcW w:w="132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p>
        </w:tc>
        <w:tc>
          <w:tcPr>
            <w:tcW w:w="50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p>
        </w:tc>
        <w:tc>
          <w:tcPr>
            <w:tcW w:w="344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p>
        </w:tc>
        <w:tc>
          <w:tcPr>
            <w:tcW w:w="134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p>
        </w:tc>
        <w:tc>
          <w:tcPr>
            <w:tcW w:w="94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p>
        </w:tc>
        <w:tc>
          <w:tcPr>
            <w:tcW w:w="80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rPr>
                <w:rFonts w:ascii="新細明體" w:hAnsi="新細明體" w:cs="新細明體"/>
                <w:color w:val="000000"/>
                <w:kern w:val="0"/>
                <w:szCs w:val="24"/>
              </w:rPr>
            </w:pPr>
          </w:p>
        </w:tc>
        <w:tc>
          <w:tcPr>
            <w:tcW w:w="1120" w:type="dxa"/>
            <w:tcBorders>
              <w:top w:val="single" w:sz="4" w:space="0" w:color="auto"/>
              <w:left w:val="nil"/>
              <w:bottom w:val="nil"/>
              <w:right w:val="nil"/>
            </w:tcBorders>
            <w:shd w:val="clear" w:color="auto" w:fill="auto"/>
            <w:vAlign w:val="center"/>
            <w:hideMark/>
          </w:tcPr>
          <w:p w:rsidR="00A01C65" w:rsidRPr="00AC3A9E" w:rsidRDefault="00A01C65" w:rsidP="00AC3A9E">
            <w:pPr>
              <w:widowControl/>
              <w:jc w:val="right"/>
              <w:rPr>
                <w:rFonts w:ascii="新細明體" w:hAnsi="新細明體" w:cs="新細明體"/>
                <w:color w:val="000000"/>
                <w:kern w:val="0"/>
                <w:szCs w:val="24"/>
              </w:rPr>
            </w:pPr>
          </w:p>
        </w:tc>
      </w:tr>
    </w:tbl>
    <w:p w:rsidR="00841277" w:rsidRDefault="00841277" w:rsidP="00404D41">
      <w:pPr>
        <w:jc w:val="both"/>
        <w:rPr>
          <w:rFonts w:ascii="標楷體" w:eastAsia="標楷體" w:hAnsi="標楷體"/>
          <w:b/>
          <w:sz w:val="26"/>
          <w:szCs w:val="26"/>
        </w:rPr>
      </w:pPr>
    </w:p>
    <w:p w:rsidR="00841277" w:rsidRDefault="00841277" w:rsidP="00404D41">
      <w:pPr>
        <w:jc w:val="both"/>
        <w:rPr>
          <w:rFonts w:ascii="標楷體" w:eastAsia="標楷體" w:hAnsi="標楷體"/>
          <w:b/>
          <w:sz w:val="26"/>
          <w:szCs w:val="26"/>
        </w:rPr>
      </w:pPr>
    </w:p>
    <w:p w:rsidR="00841277" w:rsidRDefault="00841277" w:rsidP="00404D41">
      <w:pPr>
        <w:jc w:val="both"/>
        <w:rPr>
          <w:rFonts w:ascii="標楷體" w:eastAsia="標楷體" w:hAnsi="標楷體"/>
          <w:b/>
          <w:sz w:val="26"/>
          <w:szCs w:val="26"/>
        </w:rPr>
      </w:pPr>
    </w:p>
    <w:p w:rsidR="004B6627" w:rsidRDefault="004B6627" w:rsidP="00404D41">
      <w:pPr>
        <w:jc w:val="both"/>
        <w:rPr>
          <w:rFonts w:ascii="標楷體" w:eastAsia="標楷體" w:hAnsi="標楷體"/>
          <w:b/>
          <w:sz w:val="26"/>
          <w:szCs w:val="26"/>
        </w:rPr>
      </w:pPr>
    </w:p>
    <w:p w:rsidR="004B6627" w:rsidRPr="00E747DE" w:rsidRDefault="004B6627" w:rsidP="00404D41">
      <w:pPr>
        <w:jc w:val="both"/>
        <w:rPr>
          <w:rFonts w:ascii="標楷體" w:eastAsia="標楷體" w:hAnsi="標楷體"/>
          <w:b/>
          <w:sz w:val="26"/>
          <w:szCs w:val="26"/>
        </w:rPr>
      </w:pPr>
    </w:p>
    <w:p w:rsidR="00404D41" w:rsidRPr="00E747DE" w:rsidRDefault="00DE1419" w:rsidP="00404D41">
      <w:pPr>
        <w:jc w:val="both"/>
        <w:rPr>
          <w:rFonts w:ascii="標楷體" w:eastAsia="標楷體" w:hAnsi="標楷體"/>
          <w:b/>
          <w:sz w:val="26"/>
          <w:szCs w:val="26"/>
        </w:rPr>
      </w:pPr>
      <w:r w:rsidRPr="00E747DE">
        <w:rPr>
          <w:rFonts w:ascii="標楷體" w:eastAsia="標楷體" w:hAnsi="標楷體" w:hint="eastAsia"/>
          <w:b/>
          <w:sz w:val="26"/>
          <w:szCs w:val="26"/>
        </w:rPr>
        <w:lastRenderedPageBreak/>
        <w:t>市場展望</w:t>
      </w:r>
    </w:p>
    <w:p w:rsidR="00DE10FA" w:rsidRPr="00E747DE" w:rsidRDefault="00E37152" w:rsidP="0053454E">
      <w:pPr>
        <w:widowControl/>
        <w:ind w:firstLineChars="200" w:firstLine="520"/>
        <w:rPr>
          <w:rFonts w:ascii="標楷體" w:eastAsia="標楷體" w:hAnsi="標楷體"/>
          <w:sz w:val="26"/>
          <w:szCs w:val="26"/>
        </w:rPr>
      </w:pPr>
      <w:r>
        <w:rPr>
          <w:rFonts w:eastAsia="標楷體" w:hint="eastAsia"/>
          <w:sz w:val="26"/>
          <w:szCs w:val="26"/>
        </w:rPr>
        <w:t>雖然美國經濟數字頻傳佳音，且</w:t>
      </w:r>
      <w:r>
        <w:rPr>
          <w:rFonts w:eastAsia="標楷體" w:hint="eastAsia"/>
          <w:sz w:val="26"/>
          <w:szCs w:val="26"/>
        </w:rPr>
        <w:t>FED</w:t>
      </w:r>
      <w:r>
        <w:rPr>
          <w:rFonts w:eastAsia="標楷體" w:hint="eastAsia"/>
          <w:sz w:val="26"/>
          <w:szCs w:val="26"/>
        </w:rPr>
        <w:t>開始縮減</w:t>
      </w:r>
      <w:r>
        <w:rPr>
          <w:rFonts w:eastAsia="標楷體" w:hint="eastAsia"/>
          <w:sz w:val="26"/>
          <w:szCs w:val="26"/>
        </w:rPr>
        <w:t>QE</w:t>
      </w:r>
      <w:r>
        <w:rPr>
          <w:rFonts w:eastAsia="標楷體" w:hint="eastAsia"/>
          <w:sz w:val="26"/>
          <w:szCs w:val="26"/>
        </w:rPr>
        <w:t>規模，但國內經濟基本面未如國外轉佳，央行貨幣政策仍維持寬鬆，台債殖利率上揚幅度仍有限</w:t>
      </w:r>
      <w:r>
        <w:rPr>
          <w:rFonts w:ascii="標楷體" w:eastAsia="標楷體" w:hAnsi="標楷體" w:hint="eastAsia"/>
          <w:sz w:val="26"/>
          <w:szCs w:val="26"/>
        </w:rPr>
        <w:t>，</w:t>
      </w:r>
      <w:r w:rsidR="00DE10FA" w:rsidRPr="00E747DE">
        <w:rPr>
          <w:rFonts w:ascii="標楷體" w:eastAsia="標楷體" w:hAnsi="標楷體" w:hint="eastAsia"/>
          <w:sz w:val="26"/>
          <w:szCs w:val="26"/>
        </w:rPr>
        <w:t>預期</w:t>
      </w:r>
      <w:r w:rsidR="004D4DDA">
        <w:rPr>
          <w:rFonts w:ascii="標楷體" w:eastAsia="標楷體" w:hAnsi="標楷體" w:hint="eastAsia"/>
          <w:sz w:val="26"/>
          <w:szCs w:val="26"/>
        </w:rPr>
        <w:t>台債五年期券在</w:t>
      </w:r>
      <w:r w:rsidR="00A61AE6">
        <w:rPr>
          <w:rFonts w:ascii="標楷體" w:eastAsia="標楷體" w:hAnsi="標楷體" w:hint="eastAsia"/>
          <w:sz w:val="26"/>
          <w:szCs w:val="26"/>
        </w:rPr>
        <w:t>1.0</w:t>
      </w:r>
      <w:r w:rsidR="008F1DFA">
        <w:rPr>
          <w:rFonts w:ascii="標楷體" w:eastAsia="標楷體" w:hAnsi="標楷體" w:hint="eastAsia"/>
          <w:sz w:val="26"/>
          <w:szCs w:val="26"/>
        </w:rPr>
        <w:t>3</w:t>
      </w:r>
      <w:r w:rsidR="00A61AE6">
        <w:rPr>
          <w:rFonts w:ascii="標楷體" w:eastAsia="標楷體" w:hAnsi="標楷體" w:hint="eastAsia"/>
          <w:sz w:val="26"/>
          <w:szCs w:val="26"/>
        </w:rPr>
        <w:t>%-1.1</w:t>
      </w:r>
      <w:r w:rsidR="0053454E">
        <w:rPr>
          <w:rFonts w:ascii="標楷體" w:eastAsia="標楷體" w:hAnsi="標楷體" w:hint="eastAsia"/>
          <w:sz w:val="26"/>
          <w:szCs w:val="26"/>
        </w:rPr>
        <w:t>3</w:t>
      </w:r>
      <w:r w:rsidR="00A61AE6">
        <w:rPr>
          <w:rFonts w:ascii="標楷體" w:eastAsia="標楷體" w:hAnsi="標楷體" w:hint="eastAsia"/>
          <w:sz w:val="26"/>
          <w:szCs w:val="26"/>
        </w:rPr>
        <w:t>%</w:t>
      </w:r>
      <w:r w:rsidR="004D4DDA">
        <w:rPr>
          <w:rFonts w:ascii="標楷體" w:eastAsia="標楷體" w:hAnsi="標楷體" w:hint="eastAsia"/>
          <w:sz w:val="26"/>
          <w:szCs w:val="26"/>
        </w:rPr>
        <w:t>，</w:t>
      </w:r>
      <w:r w:rsidR="001B2FB5" w:rsidRPr="00E747DE">
        <w:rPr>
          <w:rFonts w:ascii="標楷體" w:eastAsia="標楷體" w:hAnsi="標楷體" w:hint="eastAsia"/>
          <w:sz w:val="26"/>
          <w:szCs w:val="26"/>
        </w:rPr>
        <w:t>台債十年期券在</w:t>
      </w:r>
      <w:r w:rsidR="00DE10FA" w:rsidRPr="00E747DE">
        <w:rPr>
          <w:rFonts w:ascii="標楷體" w:eastAsia="標楷體" w:hAnsi="標楷體" w:hint="eastAsia"/>
          <w:sz w:val="26"/>
          <w:szCs w:val="26"/>
        </w:rPr>
        <w:t>1.</w:t>
      </w:r>
      <w:r w:rsidR="001B2FB5" w:rsidRPr="00E747DE">
        <w:rPr>
          <w:rFonts w:ascii="標楷體" w:eastAsia="標楷體" w:hAnsi="標楷體" w:hint="eastAsia"/>
          <w:sz w:val="26"/>
          <w:szCs w:val="26"/>
        </w:rPr>
        <w:t>6</w:t>
      </w:r>
      <w:r w:rsidR="008F1DFA">
        <w:rPr>
          <w:rFonts w:ascii="標楷體" w:eastAsia="標楷體" w:hAnsi="標楷體" w:hint="eastAsia"/>
          <w:sz w:val="26"/>
          <w:szCs w:val="26"/>
        </w:rPr>
        <w:t>2</w:t>
      </w:r>
      <w:r w:rsidR="00A61AE6">
        <w:rPr>
          <w:rFonts w:ascii="標楷體" w:eastAsia="標楷體" w:hAnsi="標楷體" w:hint="eastAsia"/>
          <w:sz w:val="26"/>
          <w:szCs w:val="26"/>
        </w:rPr>
        <w:t>%</w:t>
      </w:r>
      <w:r w:rsidR="00DE10FA" w:rsidRPr="00E747DE">
        <w:rPr>
          <w:rFonts w:ascii="標楷體" w:eastAsia="標楷體" w:hAnsi="標楷體" w:hint="eastAsia"/>
          <w:sz w:val="26"/>
          <w:szCs w:val="26"/>
        </w:rPr>
        <w:t>-1.</w:t>
      </w:r>
      <w:r w:rsidR="001B2FB5" w:rsidRPr="00E747DE">
        <w:rPr>
          <w:rFonts w:ascii="標楷體" w:eastAsia="標楷體" w:hAnsi="標楷體" w:hint="eastAsia"/>
          <w:sz w:val="26"/>
          <w:szCs w:val="26"/>
        </w:rPr>
        <w:t>7</w:t>
      </w:r>
      <w:r w:rsidR="004D4DDA">
        <w:rPr>
          <w:rFonts w:ascii="標楷體" w:eastAsia="標楷體" w:hAnsi="標楷體" w:hint="eastAsia"/>
          <w:sz w:val="26"/>
          <w:szCs w:val="26"/>
        </w:rPr>
        <w:t>2</w:t>
      </w:r>
      <w:r w:rsidR="00A61AE6">
        <w:rPr>
          <w:rFonts w:ascii="標楷體" w:eastAsia="標楷體" w:hAnsi="標楷體" w:hint="eastAsia"/>
          <w:sz w:val="26"/>
          <w:szCs w:val="26"/>
        </w:rPr>
        <w:t>%</w:t>
      </w:r>
      <w:r w:rsidR="007A44FD">
        <w:rPr>
          <w:rFonts w:ascii="標楷體" w:eastAsia="標楷體" w:hAnsi="標楷體" w:hint="eastAsia"/>
          <w:sz w:val="26"/>
          <w:szCs w:val="26"/>
        </w:rPr>
        <w:t>區間震盪</w:t>
      </w:r>
      <w:r w:rsidR="00DE10FA" w:rsidRPr="00E747DE">
        <w:rPr>
          <w:rFonts w:ascii="標楷體" w:eastAsia="標楷體" w:hAnsi="標楷體" w:hint="eastAsia"/>
          <w:sz w:val="26"/>
          <w:szCs w:val="26"/>
        </w:rPr>
        <w:t>。</w:t>
      </w:r>
    </w:p>
    <w:p w:rsidR="00FE063B" w:rsidRPr="001B2FB5" w:rsidRDefault="00FE063B" w:rsidP="00B755F2">
      <w:pPr>
        <w:autoSpaceDE w:val="0"/>
        <w:autoSpaceDN w:val="0"/>
        <w:adjustRightInd w:val="0"/>
        <w:ind w:firstLineChars="200" w:firstLine="480"/>
        <w:rPr>
          <w:rFonts w:ascii="標楷體" w:eastAsia="標楷體" w:hAnsi="標楷體"/>
        </w:rPr>
      </w:pPr>
    </w:p>
    <w:p w:rsidR="0020772B" w:rsidRPr="00A61AE6" w:rsidRDefault="0020772B" w:rsidP="00E604AE">
      <w:pPr>
        <w:autoSpaceDE w:val="0"/>
        <w:autoSpaceDN w:val="0"/>
        <w:adjustRightInd w:val="0"/>
        <w:rPr>
          <w:rFonts w:ascii="標楷體" w:eastAsia="標楷體" w:hAnsi="標楷體"/>
          <w:szCs w:val="24"/>
        </w:rPr>
      </w:pPr>
    </w:p>
    <w:sectPr w:rsidR="0020772B" w:rsidRPr="00A61AE6" w:rsidSect="005332BF">
      <w:pgSz w:w="11906" w:h="16838"/>
      <w:pgMar w:top="1440" w:right="1800" w:bottom="1276"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152" w:rsidRDefault="00E37152" w:rsidP="009A5421">
      <w:r>
        <w:separator/>
      </w:r>
    </w:p>
  </w:endnote>
  <w:endnote w:type="continuationSeparator" w:id="0">
    <w:p w:rsidR="00E37152" w:rsidRDefault="00E37152" w:rsidP="009A54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152" w:rsidRDefault="00E37152" w:rsidP="009A5421">
      <w:r>
        <w:separator/>
      </w:r>
    </w:p>
  </w:footnote>
  <w:footnote w:type="continuationSeparator" w:id="0">
    <w:p w:rsidR="00E37152" w:rsidRDefault="00E37152" w:rsidP="009A54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70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A7C"/>
    <w:rsid w:val="00002C24"/>
    <w:rsid w:val="000030C5"/>
    <w:rsid w:val="0000634F"/>
    <w:rsid w:val="00007333"/>
    <w:rsid w:val="00007718"/>
    <w:rsid w:val="00007B88"/>
    <w:rsid w:val="00027472"/>
    <w:rsid w:val="00037A2E"/>
    <w:rsid w:val="00062224"/>
    <w:rsid w:val="0006671F"/>
    <w:rsid w:val="000713A2"/>
    <w:rsid w:val="00082464"/>
    <w:rsid w:val="000849C6"/>
    <w:rsid w:val="000944CC"/>
    <w:rsid w:val="00097A42"/>
    <w:rsid w:val="000A04D1"/>
    <w:rsid w:val="000A477A"/>
    <w:rsid w:val="000C06F0"/>
    <w:rsid w:val="000C4F28"/>
    <w:rsid w:val="000C6C6F"/>
    <w:rsid w:val="000C77F5"/>
    <w:rsid w:val="000D14BF"/>
    <w:rsid w:val="000D252F"/>
    <w:rsid w:val="000D2D90"/>
    <w:rsid w:val="000D6232"/>
    <w:rsid w:val="000E0D07"/>
    <w:rsid w:val="000E0EB0"/>
    <w:rsid w:val="000E2E15"/>
    <w:rsid w:val="000E386F"/>
    <w:rsid w:val="000E533D"/>
    <w:rsid w:val="000F4E73"/>
    <w:rsid w:val="001009D8"/>
    <w:rsid w:val="001038B4"/>
    <w:rsid w:val="00115CE8"/>
    <w:rsid w:val="0012142F"/>
    <w:rsid w:val="00122680"/>
    <w:rsid w:val="001229FD"/>
    <w:rsid w:val="00126281"/>
    <w:rsid w:val="0013244C"/>
    <w:rsid w:val="001355C8"/>
    <w:rsid w:val="0013641B"/>
    <w:rsid w:val="00137FEB"/>
    <w:rsid w:val="00146282"/>
    <w:rsid w:val="00146409"/>
    <w:rsid w:val="00150C21"/>
    <w:rsid w:val="00163F16"/>
    <w:rsid w:val="00165B6D"/>
    <w:rsid w:val="00176304"/>
    <w:rsid w:val="001779B9"/>
    <w:rsid w:val="00177C5F"/>
    <w:rsid w:val="00187FBF"/>
    <w:rsid w:val="00194255"/>
    <w:rsid w:val="00194DC7"/>
    <w:rsid w:val="001A1CD7"/>
    <w:rsid w:val="001A2274"/>
    <w:rsid w:val="001B2FB5"/>
    <w:rsid w:val="001B55CD"/>
    <w:rsid w:val="001E735C"/>
    <w:rsid w:val="0020772B"/>
    <w:rsid w:val="00212656"/>
    <w:rsid w:val="00230E5C"/>
    <w:rsid w:val="0023682B"/>
    <w:rsid w:val="00240929"/>
    <w:rsid w:val="00242E9D"/>
    <w:rsid w:val="00243A76"/>
    <w:rsid w:val="00255449"/>
    <w:rsid w:val="00260578"/>
    <w:rsid w:val="00262185"/>
    <w:rsid w:val="00271532"/>
    <w:rsid w:val="0027594E"/>
    <w:rsid w:val="00275CD0"/>
    <w:rsid w:val="00282BED"/>
    <w:rsid w:val="002850E3"/>
    <w:rsid w:val="00287A15"/>
    <w:rsid w:val="00295BB6"/>
    <w:rsid w:val="00297871"/>
    <w:rsid w:val="002A22B8"/>
    <w:rsid w:val="002A57FA"/>
    <w:rsid w:val="002B12D6"/>
    <w:rsid w:val="002B23B7"/>
    <w:rsid w:val="002B273F"/>
    <w:rsid w:val="002B7C8A"/>
    <w:rsid w:val="002C3E08"/>
    <w:rsid w:val="002D19F9"/>
    <w:rsid w:val="002D299F"/>
    <w:rsid w:val="002E4B38"/>
    <w:rsid w:val="002F0DBD"/>
    <w:rsid w:val="002F38FC"/>
    <w:rsid w:val="00310242"/>
    <w:rsid w:val="00314AB7"/>
    <w:rsid w:val="00314E7C"/>
    <w:rsid w:val="00322228"/>
    <w:rsid w:val="00325971"/>
    <w:rsid w:val="00332A81"/>
    <w:rsid w:val="003360E6"/>
    <w:rsid w:val="00346031"/>
    <w:rsid w:val="00350F81"/>
    <w:rsid w:val="00361CA4"/>
    <w:rsid w:val="00363BD1"/>
    <w:rsid w:val="003640C2"/>
    <w:rsid w:val="00364CAB"/>
    <w:rsid w:val="00367A05"/>
    <w:rsid w:val="00370A31"/>
    <w:rsid w:val="00370A53"/>
    <w:rsid w:val="003758D3"/>
    <w:rsid w:val="0037753F"/>
    <w:rsid w:val="00380BE4"/>
    <w:rsid w:val="0038232E"/>
    <w:rsid w:val="00384DF4"/>
    <w:rsid w:val="0038668F"/>
    <w:rsid w:val="00386E0D"/>
    <w:rsid w:val="00392B58"/>
    <w:rsid w:val="00392F03"/>
    <w:rsid w:val="00396152"/>
    <w:rsid w:val="003A04FC"/>
    <w:rsid w:val="003A5798"/>
    <w:rsid w:val="003A6C24"/>
    <w:rsid w:val="003A762F"/>
    <w:rsid w:val="003B0D81"/>
    <w:rsid w:val="003B327E"/>
    <w:rsid w:val="003C7A71"/>
    <w:rsid w:val="003D1701"/>
    <w:rsid w:val="003D2112"/>
    <w:rsid w:val="003D6497"/>
    <w:rsid w:val="00400CCD"/>
    <w:rsid w:val="0040134F"/>
    <w:rsid w:val="00404D41"/>
    <w:rsid w:val="00407884"/>
    <w:rsid w:val="00410B08"/>
    <w:rsid w:val="004127DC"/>
    <w:rsid w:val="00422055"/>
    <w:rsid w:val="00433B68"/>
    <w:rsid w:val="004357FC"/>
    <w:rsid w:val="00437D47"/>
    <w:rsid w:val="00441499"/>
    <w:rsid w:val="00441592"/>
    <w:rsid w:val="004446B1"/>
    <w:rsid w:val="00450CCA"/>
    <w:rsid w:val="00451645"/>
    <w:rsid w:val="004604A0"/>
    <w:rsid w:val="0046590A"/>
    <w:rsid w:val="0047258F"/>
    <w:rsid w:val="00484E1E"/>
    <w:rsid w:val="004859A6"/>
    <w:rsid w:val="004B3AD1"/>
    <w:rsid w:val="004B6627"/>
    <w:rsid w:val="004C43A9"/>
    <w:rsid w:val="004C60F5"/>
    <w:rsid w:val="004D4A2A"/>
    <w:rsid w:val="004D4DDA"/>
    <w:rsid w:val="004D5956"/>
    <w:rsid w:val="004E2520"/>
    <w:rsid w:val="004E6255"/>
    <w:rsid w:val="00500B96"/>
    <w:rsid w:val="00503396"/>
    <w:rsid w:val="005204FD"/>
    <w:rsid w:val="0052685B"/>
    <w:rsid w:val="0053090A"/>
    <w:rsid w:val="00530F1D"/>
    <w:rsid w:val="005332BF"/>
    <w:rsid w:val="0053454E"/>
    <w:rsid w:val="00535F1E"/>
    <w:rsid w:val="00540419"/>
    <w:rsid w:val="00542964"/>
    <w:rsid w:val="005437B0"/>
    <w:rsid w:val="0055320E"/>
    <w:rsid w:val="00554370"/>
    <w:rsid w:val="0055656A"/>
    <w:rsid w:val="005659B1"/>
    <w:rsid w:val="00567C7E"/>
    <w:rsid w:val="00573F2D"/>
    <w:rsid w:val="00576229"/>
    <w:rsid w:val="005832CB"/>
    <w:rsid w:val="00587937"/>
    <w:rsid w:val="00590715"/>
    <w:rsid w:val="005962B3"/>
    <w:rsid w:val="005A049A"/>
    <w:rsid w:val="005A2CE3"/>
    <w:rsid w:val="005A3DEB"/>
    <w:rsid w:val="005B5196"/>
    <w:rsid w:val="005C382F"/>
    <w:rsid w:val="005C54CC"/>
    <w:rsid w:val="005C6664"/>
    <w:rsid w:val="005C67A8"/>
    <w:rsid w:val="005C7E77"/>
    <w:rsid w:val="005D4490"/>
    <w:rsid w:val="005D5B86"/>
    <w:rsid w:val="005E4492"/>
    <w:rsid w:val="005E733E"/>
    <w:rsid w:val="0060048D"/>
    <w:rsid w:val="00606DD6"/>
    <w:rsid w:val="006177C6"/>
    <w:rsid w:val="00632660"/>
    <w:rsid w:val="00636955"/>
    <w:rsid w:val="0063773C"/>
    <w:rsid w:val="00655376"/>
    <w:rsid w:val="006566A5"/>
    <w:rsid w:val="00656FC6"/>
    <w:rsid w:val="0067471C"/>
    <w:rsid w:val="006765D3"/>
    <w:rsid w:val="006911E0"/>
    <w:rsid w:val="00692DAE"/>
    <w:rsid w:val="00694B6D"/>
    <w:rsid w:val="00695F15"/>
    <w:rsid w:val="0069694B"/>
    <w:rsid w:val="006A1B2C"/>
    <w:rsid w:val="006A3BFC"/>
    <w:rsid w:val="006A480E"/>
    <w:rsid w:val="006A6663"/>
    <w:rsid w:val="006A6D72"/>
    <w:rsid w:val="006B153B"/>
    <w:rsid w:val="006B640A"/>
    <w:rsid w:val="006C13BA"/>
    <w:rsid w:val="006C57F6"/>
    <w:rsid w:val="006D5B9C"/>
    <w:rsid w:val="006E065F"/>
    <w:rsid w:val="006F124E"/>
    <w:rsid w:val="006F2B02"/>
    <w:rsid w:val="006F65F3"/>
    <w:rsid w:val="007230E1"/>
    <w:rsid w:val="00735CD5"/>
    <w:rsid w:val="00740924"/>
    <w:rsid w:val="007538BE"/>
    <w:rsid w:val="0076320B"/>
    <w:rsid w:val="007666FA"/>
    <w:rsid w:val="00772968"/>
    <w:rsid w:val="00786E45"/>
    <w:rsid w:val="007902B0"/>
    <w:rsid w:val="0079150C"/>
    <w:rsid w:val="007A4304"/>
    <w:rsid w:val="007A44FD"/>
    <w:rsid w:val="007A7AD2"/>
    <w:rsid w:val="007B2BE4"/>
    <w:rsid w:val="007C1625"/>
    <w:rsid w:val="007C20EB"/>
    <w:rsid w:val="007D548E"/>
    <w:rsid w:val="007E14A5"/>
    <w:rsid w:val="007E1539"/>
    <w:rsid w:val="007F15C0"/>
    <w:rsid w:val="007F1877"/>
    <w:rsid w:val="007F6479"/>
    <w:rsid w:val="00800A7C"/>
    <w:rsid w:val="00815786"/>
    <w:rsid w:val="0082512A"/>
    <w:rsid w:val="00832A60"/>
    <w:rsid w:val="008372C4"/>
    <w:rsid w:val="008410F5"/>
    <w:rsid w:val="00841277"/>
    <w:rsid w:val="00846AE5"/>
    <w:rsid w:val="00850F26"/>
    <w:rsid w:val="00861091"/>
    <w:rsid w:val="00865AA6"/>
    <w:rsid w:val="008671F6"/>
    <w:rsid w:val="00870530"/>
    <w:rsid w:val="00880D7C"/>
    <w:rsid w:val="008859DE"/>
    <w:rsid w:val="00890A5E"/>
    <w:rsid w:val="00890F99"/>
    <w:rsid w:val="008934D9"/>
    <w:rsid w:val="008A06FC"/>
    <w:rsid w:val="008A128C"/>
    <w:rsid w:val="008A6B4D"/>
    <w:rsid w:val="008A718C"/>
    <w:rsid w:val="008B63FB"/>
    <w:rsid w:val="008C0CC7"/>
    <w:rsid w:val="008C59CC"/>
    <w:rsid w:val="008D07B8"/>
    <w:rsid w:val="008D0EA7"/>
    <w:rsid w:val="008D5537"/>
    <w:rsid w:val="008D566F"/>
    <w:rsid w:val="008D5711"/>
    <w:rsid w:val="008E211E"/>
    <w:rsid w:val="008E23AE"/>
    <w:rsid w:val="008E2C65"/>
    <w:rsid w:val="008E3E99"/>
    <w:rsid w:val="008F1DFA"/>
    <w:rsid w:val="008F7A4B"/>
    <w:rsid w:val="009005F8"/>
    <w:rsid w:val="00903B2B"/>
    <w:rsid w:val="00904801"/>
    <w:rsid w:val="0090679A"/>
    <w:rsid w:val="00907B8E"/>
    <w:rsid w:val="00910327"/>
    <w:rsid w:val="0091640F"/>
    <w:rsid w:val="0092495B"/>
    <w:rsid w:val="00924D56"/>
    <w:rsid w:val="0093519D"/>
    <w:rsid w:val="009457F7"/>
    <w:rsid w:val="00971E49"/>
    <w:rsid w:val="0097496F"/>
    <w:rsid w:val="0097626E"/>
    <w:rsid w:val="00980AE8"/>
    <w:rsid w:val="00981086"/>
    <w:rsid w:val="0099533F"/>
    <w:rsid w:val="00995EE4"/>
    <w:rsid w:val="009972DC"/>
    <w:rsid w:val="009A2EE2"/>
    <w:rsid w:val="009A5421"/>
    <w:rsid w:val="009A59E1"/>
    <w:rsid w:val="009A763C"/>
    <w:rsid w:val="009A77A9"/>
    <w:rsid w:val="009B1147"/>
    <w:rsid w:val="009B43F1"/>
    <w:rsid w:val="009C3CDE"/>
    <w:rsid w:val="009C6F04"/>
    <w:rsid w:val="009D0D1E"/>
    <w:rsid w:val="009E0EC5"/>
    <w:rsid w:val="009E2A2B"/>
    <w:rsid w:val="009F3318"/>
    <w:rsid w:val="009F5659"/>
    <w:rsid w:val="009F5DBA"/>
    <w:rsid w:val="00A0000E"/>
    <w:rsid w:val="00A00CF2"/>
    <w:rsid w:val="00A01C65"/>
    <w:rsid w:val="00A1548F"/>
    <w:rsid w:val="00A24591"/>
    <w:rsid w:val="00A35061"/>
    <w:rsid w:val="00A41755"/>
    <w:rsid w:val="00A41ACD"/>
    <w:rsid w:val="00A46A8B"/>
    <w:rsid w:val="00A619E0"/>
    <w:rsid w:val="00A61AE6"/>
    <w:rsid w:val="00A63945"/>
    <w:rsid w:val="00A6456A"/>
    <w:rsid w:val="00A66782"/>
    <w:rsid w:val="00A679FC"/>
    <w:rsid w:val="00A72F55"/>
    <w:rsid w:val="00A80240"/>
    <w:rsid w:val="00A86772"/>
    <w:rsid w:val="00A900A0"/>
    <w:rsid w:val="00A97B4D"/>
    <w:rsid w:val="00AA67E3"/>
    <w:rsid w:val="00AB1B10"/>
    <w:rsid w:val="00AB1C5F"/>
    <w:rsid w:val="00AB393B"/>
    <w:rsid w:val="00AB605A"/>
    <w:rsid w:val="00AB71A1"/>
    <w:rsid w:val="00AB76A4"/>
    <w:rsid w:val="00AC3A9E"/>
    <w:rsid w:val="00AC7380"/>
    <w:rsid w:val="00AC7FCF"/>
    <w:rsid w:val="00AD40B7"/>
    <w:rsid w:val="00AE46BD"/>
    <w:rsid w:val="00AE5328"/>
    <w:rsid w:val="00AF06EB"/>
    <w:rsid w:val="00B10245"/>
    <w:rsid w:val="00B15C83"/>
    <w:rsid w:val="00B15CE4"/>
    <w:rsid w:val="00B20966"/>
    <w:rsid w:val="00B2497C"/>
    <w:rsid w:val="00B25D68"/>
    <w:rsid w:val="00B263AA"/>
    <w:rsid w:val="00B26E54"/>
    <w:rsid w:val="00B310E7"/>
    <w:rsid w:val="00B4495B"/>
    <w:rsid w:val="00B465BF"/>
    <w:rsid w:val="00B5191D"/>
    <w:rsid w:val="00B5382D"/>
    <w:rsid w:val="00B73A0E"/>
    <w:rsid w:val="00B755F2"/>
    <w:rsid w:val="00B81A48"/>
    <w:rsid w:val="00B83124"/>
    <w:rsid w:val="00B84CDF"/>
    <w:rsid w:val="00B912FE"/>
    <w:rsid w:val="00BA1540"/>
    <w:rsid w:val="00BA1931"/>
    <w:rsid w:val="00BA2827"/>
    <w:rsid w:val="00BA31AA"/>
    <w:rsid w:val="00BC2096"/>
    <w:rsid w:val="00BC3F0E"/>
    <w:rsid w:val="00BC6AAE"/>
    <w:rsid w:val="00BC723F"/>
    <w:rsid w:val="00BD18D8"/>
    <w:rsid w:val="00BD4D8C"/>
    <w:rsid w:val="00BD7A16"/>
    <w:rsid w:val="00BE2D66"/>
    <w:rsid w:val="00BE7532"/>
    <w:rsid w:val="00BF4BF9"/>
    <w:rsid w:val="00C04F5A"/>
    <w:rsid w:val="00C068C5"/>
    <w:rsid w:val="00C149CF"/>
    <w:rsid w:val="00C16FFF"/>
    <w:rsid w:val="00C22307"/>
    <w:rsid w:val="00C22CC4"/>
    <w:rsid w:val="00C26E5B"/>
    <w:rsid w:val="00C273D8"/>
    <w:rsid w:val="00C27AC3"/>
    <w:rsid w:val="00C335B0"/>
    <w:rsid w:val="00C34E0C"/>
    <w:rsid w:val="00C416D1"/>
    <w:rsid w:val="00C44121"/>
    <w:rsid w:val="00C55E53"/>
    <w:rsid w:val="00C643FD"/>
    <w:rsid w:val="00C65330"/>
    <w:rsid w:val="00C6733F"/>
    <w:rsid w:val="00C75696"/>
    <w:rsid w:val="00C905D1"/>
    <w:rsid w:val="00CA0F93"/>
    <w:rsid w:val="00CA34A4"/>
    <w:rsid w:val="00CB6738"/>
    <w:rsid w:val="00CC4470"/>
    <w:rsid w:val="00CC7B57"/>
    <w:rsid w:val="00CD19CB"/>
    <w:rsid w:val="00CD678D"/>
    <w:rsid w:val="00CD7100"/>
    <w:rsid w:val="00CE1BA1"/>
    <w:rsid w:val="00CF0128"/>
    <w:rsid w:val="00CF3AB5"/>
    <w:rsid w:val="00CF5833"/>
    <w:rsid w:val="00D013FC"/>
    <w:rsid w:val="00D21095"/>
    <w:rsid w:val="00D328C3"/>
    <w:rsid w:val="00D441E0"/>
    <w:rsid w:val="00D50DED"/>
    <w:rsid w:val="00D53EC1"/>
    <w:rsid w:val="00D710F2"/>
    <w:rsid w:val="00D712C8"/>
    <w:rsid w:val="00D77F70"/>
    <w:rsid w:val="00D8551C"/>
    <w:rsid w:val="00D90764"/>
    <w:rsid w:val="00D967DD"/>
    <w:rsid w:val="00D96846"/>
    <w:rsid w:val="00DA0F0D"/>
    <w:rsid w:val="00DA76B3"/>
    <w:rsid w:val="00DB1B11"/>
    <w:rsid w:val="00DB48B5"/>
    <w:rsid w:val="00DC4F84"/>
    <w:rsid w:val="00DD311B"/>
    <w:rsid w:val="00DE0833"/>
    <w:rsid w:val="00DE0E2D"/>
    <w:rsid w:val="00DE10FA"/>
    <w:rsid w:val="00DE1419"/>
    <w:rsid w:val="00DE4D36"/>
    <w:rsid w:val="00DF07B8"/>
    <w:rsid w:val="00DF6BB5"/>
    <w:rsid w:val="00DF7432"/>
    <w:rsid w:val="00E002B1"/>
    <w:rsid w:val="00E148CC"/>
    <w:rsid w:val="00E17BFE"/>
    <w:rsid w:val="00E2348D"/>
    <w:rsid w:val="00E37152"/>
    <w:rsid w:val="00E44C9B"/>
    <w:rsid w:val="00E5723F"/>
    <w:rsid w:val="00E604AE"/>
    <w:rsid w:val="00E61E44"/>
    <w:rsid w:val="00E6395A"/>
    <w:rsid w:val="00E65F36"/>
    <w:rsid w:val="00E704EF"/>
    <w:rsid w:val="00E712D8"/>
    <w:rsid w:val="00E72F68"/>
    <w:rsid w:val="00E732E4"/>
    <w:rsid w:val="00E747DE"/>
    <w:rsid w:val="00E83099"/>
    <w:rsid w:val="00E91BAD"/>
    <w:rsid w:val="00E949D1"/>
    <w:rsid w:val="00EA3BE3"/>
    <w:rsid w:val="00EB196D"/>
    <w:rsid w:val="00EB3C15"/>
    <w:rsid w:val="00EB4DA6"/>
    <w:rsid w:val="00EC1F48"/>
    <w:rsid w:val="00EC35E7"/>
    <w:rsid w:val="00ED639C"/>
    <w:rsid w:val="00EE28F0"/>
    <w:rsid w:val="00EF15CC"/>
    <w:rsid w:val="00EF2C1B"/>
    <w:rsid w:val="00EF501F"/>
    <w:rsid w:val="00F0215A"/>
    <w:rsid w:val="00F06D4D"/>
    <w:rsid w:val="00F14A36"/>
    <w:rsid w:val="00F16577"/>
    <w:rsid w:val="00F172D2"/>
    <w:rsid w:val="00F17D68"/>
    <w:rsid w:val="00F21861"/>
    <w:rsid w:val="00F31BE1"/>
    <w:rsid w:val="00F41DAB"/>
    <w:rsid w:val="00F45925"/>
    <w:rsid w:val="00F46C18"/>
    <w:rsid w:val="00F47A10"/>
    <w:rsid w:val="00F534CA"/>
    <w:rsid w:val="00F62262"/>
    <w:rsid w:val="00F63D79"/>
    <w:rsid w:val="00F70F29"/>
    <w:rsid w:val="00F7206C"/>
    <w:rsid w:val="00F75C26"/>
    <w:rsid w:val="00F76392"/>
    <w:rsid w:val="00F8047D"/>
    <w:rsid w:val="00F823D4"/>
    <w:rsid w:val="00F84CEF"/>
    <w:rsid w:val="00F92C76"/>
    <w:rsid w:val="00F92E9C"/>
    <w:rsid w:val="00F96223"/>
    <w:rsid w:val="00FA0FDC"/>
    <w:rsid w:val="00FA150F"/>
    <w:rsid w:val="00FB2C8A"/>
    <w:rsid w:val="00FC0C79"/>
    <w:rsid w:val="00FC777C"/>
    <w:rsid w:val="00FD31BB"/>
    <w:rsid w:val="00FE063B"/>
    <w:rsid w:val="00FE0717"/>
    <w:rsid w:val="00FF71E3"/>
    <w:rsid w:val="00FF78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6F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4FC"/>
    <w:rPr>
      <w:rFonts w:ascii="Cambria" w:hAnsi="Cambria"/>
      <w:sz w:val="18"/>
      <w:szCs w:val="18"/>
    </w:rPr>
  </w:style>
  <w:style w:type="character" w:customStyle="1" w:styleId="a4">
    <w:name w:val="註解方塊文字 字元"/>
    <w:link w:val="a3"/>
    <w:uiPriority w:val="99"/>
    <w:semiHidden/>
    <w:rsid w:val="003A04FC"/>
    <w:rPr>
      <w:rFonts w:ascii="Cambria" w:eastAsia="新細明體" w:hAnsi="Cambria" w:cs="Times New Roman"/>
      <w:kern w:val="2"/>
      <w:sz w:val="18"/>
      <w:szCs w:val="18"/>
    </w:rPr>
  </w:style>
  <w:style w:type="paragraph" w:styleId="a5">
    <w:name w:val="header"/>
    <w:basedOn w:val="a"/>
    <w:link w:val="a6"/>
    <w:uiPriority w:val="99"/>
    <w:unhideWhenUsed/>
    <w:rsid w:val="009A5421"/>
    <w:pPr>
      <w:tabs>
        <w:tab w:val="center" w:pos="4153"/>
        <w:tab w:val="right" w:pos="8306"/>
      </w:tabs>
      <w:snapToGrid w:val="0"/>
    </w:pPr>
    <w:rPr>
      <w:sz w:val="20"/>
      <w:szCs w:val="20"/>
    </w:rPr>
  </w:style>
  <w:style w:type="character" w:customStyle="1" w:styleId="a6">
    <w:name w:val="頁首 字元"/>
    <w:link w:val="a5"/>
    <w:uiPriority w:val="99"/>
    <w:rsid w:val="009A5421"/>
    <w:rPr>
      <w:kern w:val="2"/>
    </w:rPr>
  </w:style>
  <w:style w:type="paragraph" w:styleId="a7">
    <w:name w:val="footer"/>
    <w:basedOn w:val="a"/>
    <w:link w:val="a8"/>
    <w:uiPriority w:val="99"/>
    <w:unhideWhenUsed/>
    <w:rsid w:val="009A5421"/>
    <w:pPr>
      <w:tabs>
        <w:tab w:val="center" w:pos="4153"/>
        <w:tab w:val="right" w:pos="8306"/>
      </w:tabs>
      <w:snapToGrid w:val="0"/>
    </w:pPr>
    <w:rPr>
      <w:sz w:val="20"/>
      <w:szCs w:val="20"/>
    </w:rPr>
  </w:style>
  <w:style w:type="character" w:customStyle="1" w:styleId="a8">
    <w:name w:val="頁尾 字元"/>
    <w:link w:val="a7"/>
    <w:uiPriority w:val="99"/>
    <w:rsid w:val="009A5421"/>
    <w:rPr>
      <w:kern w:val="2"/>
    </w:rPr>
  </w:style>
  <w:style w:type="paragraph" w:styleId="Web">
    <w:name w:val="Normal (Web)"/>
    <w:basedOn w:val="a"/>
    <w:uiPriority w:val="99"/>
    <w:semiHidden/>
    <w:unhideWhenUsed/>
    <w:rsid w:val="00D96846"/>
    <w:pPr>
      <w:widowControl/>
      <w:spacing w:before="100" w:beforeAutospacing="1" w:after="100" w:afterAutospacing="1"/>
    </w:pPr>
    <w:rPr>
      <w:rFonts w:ascii="新細明體" w:hAnsi="新細明體" w:cs="新細明體"/>
      <w:kern w:val="0"/>
      <w:szCs w:val="24"/>
    </w:rPr>
  </w:style>
  <w:style w:type="paragraph" w:styleId="a9">
    <w:name w:val="No Spacing"/>
    <w:uiPriority w:val="1"/>
    <w:qFormat/>
    <w:rsid w:val="008D5537"/>
    <w:pPr>
      <w:widowControl w:val="0"/>
    </w:pPr>
    <w:rPr>
      <w:kern w:val="2"/>
      <w:sz w:val="24"/>
      <w:szCs w:val="22"/>
    </w:rPr>
  </w:style>
  <w:style w:type="character" w:styleId="aa">
    <w:name w:val="Hyperlink"/>
    <w:basedOn w:val="a0"/>
    <w:uiPriority w:val="99"/>
    <w:semiHidden/>
    <w:unhideWhenUsed/>
    <w:rsid w:val="00AC3A9E"/>
    <w:rPr>
      <w:color w:val="0000FF"/>
      <w:u w:val="single"/>
    </w:rPr>
  </w:style>
  <w:style w:type="character" w:styleId="ab">
    <w:name w:val="FollowedHyperlink"/>
    <w:basedOn w:val="a0"/>
    <w:uiPriority w:val="99"/>
    <w:semiHidden/>
    <w:unhideWhenUsed/>
    <w:rsid w:val="00AC3A9E"/>
    <w:rPr>
      <w:color w:val="800080"/>
      <w:u w:val="single"/>
    </w:rPr>
  </w:style>
  <w:style w:type="paragraph" w:customStyle="1" w:styleId="xl65">
    <w:name w:val="xl65"/>
    <w:basedOn w:val="a"/>
    <w:rsid w:val="00AC3A9E"/>
    <w:pPr>
      <w:widowControl/>
      <w:spacing w:before="100" w:beforeAutospacing="1" w:after="100" w:afterAutospacing="1"/>
    </w:pPr>
    <w:rPr>
      <w:rFonts w:ascii="新細明體" w:hAnsi="新細明體" w:cs="新細明體"/>
      <w:kern w:val="0"/>
      <w:szCs w:val="24"/>
    </w:rPr>
  </w:style>
  <w:style w:type="paragraph" w:customStyle="1" w:styleId="xl66">
    <w:name w:val="xl66"/>
    <w:basedOn w:val="a"/>
    <w:rsid w:val="00AC3A9E"/>
    <w:pPr>
      <w:widowControl/>
      <w:spacing w:before="100" w:beforeAutospacing="1" w:after="100" w:afterAutospacing="1"/>
    </w:pPr>
    <w:rPr>
      <w:rFonts w:ascii="新細明體" w:hAnsi="新細明體" w:cs="新細明體"/>
      <w:kern w:val="0"/>
      <w:szCs w:val="24"/>
    </w:rPr>
  </w:style>
  <w:style w:type="paragraph" w:customStyle="1" w:styleId="xl67">
    <w:name w:val="xl67"/>
    <w:basedOn w:val="a"/>
    <w:rsid w:val="00AC3A9E"/>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6F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4FC"/>
    <w:rPr>
      <w:rFonts w:ascii="Cambria" w:hAnsi="Cambria"/>
      <w:sz w:val="18"/>
      <w:szCs w:val="18"/>
      <w:lang w:val="x-none" w:eastAsia="x-none"/>
    </w:rPr>
  </w:style>
  <w:style w:type="character" w:customStyle="1" w:styleId="a4">
    <w:name w:val="註解方塊文字 字元"/>
    <w:link w:val="a3"/>
    <w:uiPriority w:val="99"/>
    <w:semiHidden/>
    <w:rsid w:val="003A04FC"/>
    <w:rPr>
      <w:rFonts w:ascii="Cambria" w:eastAsia="新細明體" w:hAnsi="Cambria" w:cs="Times New Roman"/>
      <w:kern w:val="2"/>
      <w:sz w:val="18"/>
      <w:szCs w:val="18"/>
    </w:rPr>
  </w:style>
  <w:style w:type="paragraph" w:styleId="a5">
    <w:name w:val="header"/>
    <w:basedOn w:val="a"/>
    <w:link w:val="a6"/>
    <w:uiPriority w:val="99"/>
    <w:unhideWhenUsed/>
    <w:rsid w:val="009A5421"/>
    <w:pPr>
      <w:tabs>
        <w:tab w:val="center" w:pos="4153"/>
        <w:tab w:val="right" w:pos="8306"/>
      </w:tabs>
      <w:snapToGrid w:val="0"/>
    </w:pPr>
    <w:rPr>
      <w:sz w:val="20"/>
      <w:szCs w:val="20"/>
      <w:lang w:val="x-none" w:eastAsia="x-none"/>
    </w:rPr>
  </w:style>
  <w:style w:type="character" w:customStyle="1" w:styleId="a6">
    <w:name w:val="頁首 字元"/>
    <w:link w:val="a5"/>
    <w:uiPriority w:val="99"/>
    <w:rsid w:val="009A5421"/>
    <w:rPr>
      <w:kern w:val="2"/>
    </w:rPr>
  </w:style>
  <w:style w:type="paragraph" w:styleId="a7">
    <w:name w:val="footer"/>
    <w:basedOn w:val="a"/>
    <w:link w:val="a8"/>
    <w:uiPriority w:val="99"/>
    <w:unhideWhenUsed/>
    <w:rsid w:val="009A5421"/>
    <w:pPr>
      <w:tabs>
        <w:tab w:val="center" w:pos="4153"/>
        <w:tab w:val="right" w:pos="8306"/>
      </w:tabs>
      <w:snapToGrid w:val="0"/>
    </w:pPr>
    <w:rPr>
      <w:sz w:val="20"/>
      <w:szCs w:val="20"/>
      <w:lang w:val="x-none" w:eastAsia="x-none"/>
    </w:rPr>
  </w:style>
  <w:style w:type="character" w:customStyle="1" w:styleId="a8">
    <w:name w:val="頁尾 字元"/>
    <w:link w:val="a7"/>
    <w:uiPriority w:val="99"/>
    <w:rsid w:val="009A5421"/>
    <w:rPr>
      <w:kern w:val="2"/>
    </w:rPr>
  </w:style>
  <w:style w:type="paragraph" w:styleId="Web">
    <w:name w:val="Normal (Web)"/>
    <w:basedOn w:val="a"/>
    <w:uiPriority w:val="99"/>
    <w:semiHidden/>
    <w:unhideWhenUsed/>
    <w:rsid w:val="00D96846"/>
    <w:pPr>
      <w:widowControl/>
      <w:spacing w:before="100" w:beforeAutospacing="1" w:after="100" w:afterAutospacing="1"/>
    </w:pPr>
    <w:rPr>
      <w:rFonts w:ascii="新細明體" w:hAnsi="新細明體" w:cs="新細明體"/>
      <w:kern w:val="0"/>
      <w:szCs w:val="24"/>
    </w:rPr>
  </w:style>
  <w:style w:type="paragraph" w:styleId="a9">
    <w:name w:val="No Spacing"/>
    <w:uiPriority w:val="1"/>
    <w:qFormat/>
    <w:rsid w:val="008D5537"/>
    <w:pPr>
      <w:widowControl w:val="0"/>
    </w:pPr>
    <w:rPr>
      <w:kern w:val="2"/>
      <w:sz w:val="24"/>
      <w:szCs w:val="22"/>
    </w:rPr>
  </w:style>
</w:styles>
</file>

<file path=word/webSettings.xml><?xml version="1.0" encoding="utf-8"?>
<w:webSettings xmlns:r="http://schemas.openxmlformats.org/officeDocument/2006/relationships" xmlns:w="http://schemas.openxmlformats.org/wordprocessingml/2006/main">
  <w:divs>
    <w:div w:id="46881839">
      <w:bodyDiv w:val="1"/>
      <w:marLeft w:val="0"/>
      <w:marRight w:val="0"/>
      <w:marTop w:val="0"/>
      <w:marBottom w:val="0"/>
      <w:divBdr>
        <w:top w:val="none" w:sz="0" w:space="0" w:color="auto"/>
        <w:left w:val="none" w:sz="0" w:space="0" w:color="auto"/>
        <w:bottom w:val="none" w:sz="0" w:space="0" w:color="auto"/>
        <w:right w:val="none" w:sz="0" w:space="0" w:color="auto"/>
      </w:divBdr>
    </w:div>
    <w:div w:id="82381464">
      <w:bodyDiv w:val="1"/>
      <w:marLeft w:val="0"/>
      <w:marRight w:val="0"/>
      <w:marTop w:val="0"/>
      <w:marBottom w:val="0"/>
      <w:divBdr>
        <w:top w:val="none" w:sz="0" w:space="0" w:color="auto"/>
        <w:left w:val="none" w:sz="0" w:space="0" w:color="auto"/>
        <w:bottom w:val="none" w:sz="0" w:space="0" w:color="auto"/>
        <w:right w:val="none" w:sz="0" w:space="0" w:color="auto"/>
      </w:divBdr>
    </w:div>
    <w:div w:id="109396147">
      <w:bodyDiv w:val="1"/>
      <w:marLeft w:val="0"/>
      <w:marRight w:val="0"/>
      <w:marTop w:val="0"/>
      <w:marBottom w:val="0"/>
      <w:divBdr>
        <w:top w:val="none" w:sz="0" w:space="0" w:color="auto"/>
        <w:left w:val="none" w:sz="0" w:space="0" w:color="auto"/>
        <w:bottom w:val="none" w:sz="0" w:space="0" w:color="auto"/>
        <w:right w:val="none" w:sz="0" w:space="0" w:color="auto"/>
      </w:divBdr>
    </w:div>
    <w:div w:id="222108913">
      <w:bodyDiv w:val="1"/>
      <w:marLeft w:val="0"/>
      <w:marRight w:val="0"/>
      <w:marTop w:val="0"/>
      <w:marBottom w:val="0"/>
      <w:divBdr>
        <w:top w:val="none" w:sz="0" w:space="0" w:color="auto"/>
        <w:left w:val="none" w:sz="0" w:space="0" w:color="auto"/>
        <w:bottom w:val="none" w:sz="0" w:space="0" w:color="auto"/>
        <w:right w:val="none" w:sz="0" w:space="0" w:color="auto"/>
      </w:divBdr>
    </w:div>
    <w:div w:id="301345941">
      <w:bodyDiv w:val="1"/>
      <w:marLeft w:val="0"/>
      <w:marRight w:val="0"/>
      <w:marTop w:val="0"/>
      <w:marBottom w:val="0"/>
      <w:divBdr>
        <w:top w:val="none" w:sz="0" w:space="0" w:color="auto"/>
        <w:left w:val="none" w:sz="0" w:space="0" w:color="auto"/>
        <w:bottom w:val="none" w:sz="0" w:space="0" w:color="auto"/>
        <w:right w:val="none" w:sz="0" w:space="0" w:color="auto"/>
      </w:divBdr>
    </w:div>
    <w:div w:id="457188412">
      <w:bodyDiv w:val="1"/>
      <w:marLeft w:val="0"/>
      <w:marRight w:val="0"/>
      <w:marTop w:val="0"/>
      <w:marBottom w:val="0"/>
      <w:divBdr>
        <w:top w:val="none" w:sz="0" w:space="0" w:color="auto"/>
        <w:left w:val="none" w:sz="0" w:space="0" w:color="auto"/>
        <w:bottom w:val="none" w:sz="0" w:space="0" w:color="auto"/>
        <w:right w:val="none" w:sz="0" w:space="0" w:color="auto"/>
      </w:divBdr>
    </w:div>
    <w:div w:id="783891820">
      <w:bodyDiv w:val="1"/>
      <w:marLeft w:val="0"/>
      <w:marRight w:val="0"/>
      <w:marTop w:val="0"/>
      <w:marBottom w:val="0"/>
      <w:divBdr>
        <w:top w:val="none" w:sz="0" w:space="0" w:color="auto"/>
        <w:left w:val="none" w:sz="0" w:space="0" w:color="auto"/>
        <w:bottom w:val="none" w:sz="0" w:space="0" w:color="auto"/>
        <w:right w:val="none" w:sz="0" w:space="0" w:color="auto"/>
      </w:divBdr>
    </w:div>
    <w:div w:id="1008479054">
      <w:bodyDiv w:val="1"/>
      <w:marLeft w:val="0"/>
      <w:marRight w:val="0"/>
      <w:marTop w:val="0"/>
      <w:marBottom w:val="0"/>
      <w:divBdr>
        <w:top w:val="none" w:sz="0" w:space="0" w:color="auto"/>
        <w:left w:val="none" w:sz="0" w:space="0" w:color="auto"/>
        <w:bottom w:val="none" w:sz="0" w:space="0" w:color="auto"/>
        <w:right w:val="none" w:sz="0" w:space="0" w:color="auto"/>
      </w:divBdr>
    </w:div>
    <w:div w:id="1039817031">
      <w:bodyDiv w:val="1"/>
      <w:marLeft w:val="0"/>
      <w:marRight w:val="0"/>
      <w:marTop w:val="0"/>
      <w:marBottom w:val="0"/>
      <w:divBdr>
        <w:top w:val="none" w:sz="0" w:space="0" w:color="auto"/>
        <w:left w:val="none" w:sz="0" w:space="0" w:color="auto"/>
        <w:bottom w:val="none" w:sz="0" w:space="0" w:color="auto"/>
        <w:right w:val="none" w:sz="0" w:space="0" w:color="auto"/>
      </w:divBdr>
    </w:div>
    <w:div w:id="1042747399">
      <w:bodyDiv w:val="1"/>
      <w:marLeft w:val="0"/>
      <w:marRight w:val="0"/>
      <w:marTop w:val="0"/>
      <w:marBottom w:val="0"/>
      <w:divBdr>
        <w:top w:val="none" w:sz="0" w:space="0" w:color="auto"/>
        <w:left w:val="none" w:sz="0" w:space="0" w:color="auto"/>
        <w:bottom w:val="none" w:sz="0" w:space="0" w:color="auto"/>
        <w:right w:val="none" w:sz="0" w:space="0" w:color="auto"/>
      </w:divBdr>
    </w:div>
    <w:div w:id="1044528307">
      <w:bodyDiv w:val="1"/>
      <w:marLeft w:val="0"/>
      <w:marRight w:val="0"/>
      <w:marTop w:val="0"/>
      <w:marBottom w:val="0"/>
      <w:divBdr>
        <w:top w:val="none" w:sz="0" w:space="0" w:color="auto"/>
        <w:left w:val="none" w:sz="0" w:space="0" w:color="auto"/>
        <w:bottom w:val="none" w:sz="0" w:space="0" w:color="auto"/>
        <w:right w:val="none" w:sz="0" w:space="0" w:color="auto"/>
      </w:divBdr>
    </w:div>
    <w:div w:id="1111047129">
      <w:bodyDiv w:val="1"/>
      <w:marLeft w:val="0"/>
      <w:marRight w:val="0"/>
      <w:marTop w:val="0"/>
      <w:marBottom w:val="0"/>
      <w:divBdr>
        <w:top w:val="none" w:sz="0" w:space="0" w:color="auto"/>
        <w:left w:val="none" w:sz="0" w:space="0" w:color="auto"/>
        <w:bottom w:val="none" w:sz="0" w:space="0" w:color="auto"/>
        <w:right w:val="none" w:sz="0" w:space="0" w:color="auto"/>
      </w:divBdr>
    </w:div>
    <w:div w:id="1166821029">
      <w:bodyDiv w:val="1"/>
      <w:marLeft w:val="0"/>
      <w:marRight w:val="0"/>
      <w:marTop w:val="0"/>
      <w:marBottom w:val="0"/>
      <w:divBdr>
        <w:top w:val="none" w:sz="0" w:space="0" w:color="auto"/>
        <w:left w:val="none" w:sz="0" w:space="0" w:color="auto"/>
        <w:bottom w:val="none" w:sz="0" w:space="0" w:color="auto"/>
        <w:right w:val="none" w:sz="0" w:space="0" w:color="auto"/>
      </w:divBdr>
    </w:div>
    <w:div w:id="1260914495">
      <w:bodyDiv w:val="1"/>
      <w:marLeft w:val="0"/>
      <w:marRight w:val="0"/>
      <w:marTop w:val="0"/>
      <w:marBottom w:val="0"/>
      <w:divBdr>
        <w:top w:val="none" w:sz="0" w:space="0" w:color="auto"/>
        <w:left w:val="none" w:sz="0" w:space="0" w:color="auto"/>
        <w:bottom w:val="none" w:sz="0" w:space="0" w:color="auto"/>
        <w:right w:val="none" w:sz="0" w:space="0" w:color="auto"/>
      </w:divBdr>
    </w:div>
    <w:div w:id="1274048189">
      <w:bodyDiv w:val="1"/>
      <w:marLeft w:val="0"/>
      <w:marRight w:val="0"/>
      <w:marTop w:val="0"/>
      <w:marBottom w:val="0"/>
      <w:divBdr>
        <w:top w:val="none" w:sz="0" w:space="0" w:color="auto"/>
        <w:left w:val="none" w:sz="0" w:space="0" w:color="auto"/>
        <w:bottom w:val="none" w:sz="0" w:space="0" w:color="auto"/>
        <w:right w:val="none" w:sz="0" w:space="0" w:color="auto"/>
      </w:divBdr>
    </w:div>
    <w:div w:id="1299530630">
      <w:bodyDiv w:val="1"/>
      <w:marLeft w:val="0"/>
      <w:marRight w:val="0"/>
      <w:marTop w:val="0"/>
      <w:marBottom w:val="0"/>
      <w:divBdr>
        <w:top w:val="none" w:sz="0" w:space="0" w:color="auto"/>
        <w:left w:val="none" w:sz="0" w:space="0" w:color="auto"/>
        <w:bottom w:val="none" w:sz="0" w:space="0" w:color="auto"/>
        <w:right w:val="none" w:sz="0" w:space="0" w:color="auto"/>
      </w:divBdr>
    </w:div>
    <w:div w:id="1342665340">
      <w:bodyDiv w:val="1"/>
      <w:marLeft w:val="0"/>
      <w:marRight w:val="0"/>
      <w:marTop w:val="0"/>
      <w:marBottom w:val="0"/>
      <w:divBdr>
        <w:top w:val="none" w:sz="0" w:space="0" w:color="auto"/>
        <w:left w:val="none" w:sz="0" w:space="0" w:color="auto"/>
        <w:bottom w:val="none" w:sz="0" w:space="0" w:color="auto"/>
        <w:right w:val="none" w:sz="0" w:space="0" w:color="auto"/>
      </w:divBdr>
    </w:div>
    <w:div w:id="1501234400">
      <w:bodyDiv w:val="1"/>
      <w:marLeft w:val="0"/>
      <w:marRight w:val="0"/>
      <w:marTop w:val="0"/>
      <w:marBottom w:val="0"/>
      <w:divBdr>
        <w:top w:val="none" w:sz="0" w:space="0" w:color="auto"/>
        <w:left w:val="none" w:sz="0" w:space="0" w:color="auto"/>
        <w:bottom w:val="none" w:sz="0" w:space="0" w:color="auto"/>
        <w:right w:val="none" w:sz="0" w:space="0" w:color="auto"/>
      </w:divBdr>
    </w:div>
    <w:div w:id="1541355672">
      <w:bodyDiv w:val="1"/>
      <w:marLeft w:val="0"/>
      <w:marRight w:val="0"/>
      <w:marTop w:val="0"/>
      <w:marBottom w:val="0"/>
      <w:divBdr>
        <w:top w:val="none" w:sz="0" w:space="0" w:color="auto"/>
        <w:left w:val="none" w:sz="0" w:space="0" w:color="auto"/>
        <w:bottom w:val="none" w:sz="0" w:space="0" w:color="auto"/>
        <w:right w:val="none" w:sz="0" w:space="0" w:color="auto"/>
      </w:divBdr>
    </w:div>
    <w:div w:id="1615092883">
      <w:bodyDiv w:val="1"/>
      <w:marLeft w:val="0"/>
      <w:marRight w:val="0"/>
      <w:marTop w:val="0"/>
      <w:marBottom w:val="0"/>
      <w:divBdr>
        <w:top w:val="none" w:sz="0" w:space="0" w:color="auto"/>
        <w:left w:val="none" w:sz="0" w:space="0" w:color="auto"/>
        <w:bottom w:val="none" w:sz="0" w:space="0" w:color="auto"/>
        <w:right w:val="none" w:sz="0" w:space="0" w:color="auto"/>
      </w:divBdr>
    </w:div>
    <w:div w:id="1724912689">
      <w:bodyDiv w:val="1"/>
      <w:marLeft w:val="0"/>
      <w:marRight w:val="0"/>
      <w:marTop w:val="0"/>
      <w:marBottom w:val="0"/>
      <w:divBdr>
        <w:top w:val="none" w:sz="0" w:space="0" w:color="auto"/>
        <w:left w:val="none" w:sz="0" w:space="0" w:color="auto"/>
        <w:bottom w:val="none" w:sz="0" w:space="0" w:color="auto"/>
        <w:right w:val="none" w:sz="0" w:space="0" w:color="auto"/>
      </w:divBdr>
    </w:div>
    <w:div w:id="1742562563">
      <w:bodyDiv w:val="1"/>
      <w:marLeft w:val="0"/>
      <w:marRight w:val="0"/>
      <w:marTop w:val="0"/>
      <w:marBottom w:val="0"/>
      <w:divBdr>
        <w:top w:val="none" w:sz="0" w:space="0" w:color="auto"/>
        <w:left w:val="none" w:sz="0" w:space="0" w:color="auto"/>
        <w:bottom w:val="none" w:sz="0" w:space="0" w:color="auto"/>
        <w:right w:val="none" w:sz="0" w:space="0" w:color="auto"/>
      </w:divBdr>
    </w:div>
    <w:div w:id="1847212013">
      <w:bodyDiv w:val="1"/>
      <w:marLeft w:val="0"/>
      <w:marRight w:val="0"/>
      <w:marTop w:val="0"/>
      <w:marBottom w:val="0"/>
      <w:divBdr>
        <w:top w:val="none" w:sz="0" w:space="0" w:color="auto"/>
        <w:left w:val="none" w:sz="0" w:space="0" w:color="auto"/>
        <w:bottom w:val="none" w:sz="0" w:space="0" w:color="auto"/>
        <w:right w:val="none" w:sz="0" w:space="0" w:color="auto"/>
      </w:divBdr>
    </w:div>
    <w:div w:id="1893692450">
      <w:bodyDiv w:val="1"/>
      <w:marLeft w:val="0"/>
      <w:marRight w:val="0"/>
      <w:marTop w:val="0"/>
      <w:marBottom w:val="0"/>
      <w:divBdr>
        <w:top w:val="none" w:sz="0" w:space="0" w:color="auto"/>
        <w:left w:val="none" w:sz="0" w:space="0" w:color="auto"/>
        <w:bottom w:val="none" w:sz="0" w:space="0" w:color="auto"/>
        <w:right w:val="none" w:sz="0" w:space="0" w:color="auto"/>
      </w:divBdr>
    </w:div>
    <w:div w:id="20049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6A71-5400-4982-B75E-8104E419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326</Words>
  <Characters>1859</Characters>
  <Application>Microsoft Office Word</Application>
  <DocSecurity>0</DocSecurity>
  <Lines>15</Lines>
  <Paragraphs>4</Paragraphs>
  <ScaleCrop>false</ScaleCrop>
  <Company>大中票券</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彭博系統</dc:creator>
  <cp:lastModifiedBy>94002</cp:lastModifiedBy>
  <cp:revision>9</cp:revision>
  <cp:lastPrinted>2013-12-26T05:57:00Z</cp:lastPrinted>
  <dcterms:created xsi:type="dcterms:W3CDTF">2013-12-25T07:06:00Z</dcterms:created>
  <dcterms:modified xsi:type="dcterms:W3CDTF">2013-12-26T06:17:00Z</dcterms:modified>
</cp:coreProperties>
</file>