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0C318D">
        <w:rPr>
          <w:rFonts w:ascii="標楷體" w:eastAsia="標楷體" w:hAnsi="標楷體" w:hint="eastAsia"/>
          <w:b/>
          <w:sz w:val="28"/>
          <w:szCs w:val="28"/>
        </w:rPr>
        <w:t xml:space="preserve">  2014/</w:t>
      </w:r>
      <w:r w:rsidR="00A53D35">
        <w:rPr>
          <w:rFonts w:ascii="標楷體" w:eastAsia="標楷體" w:hAnsi="標楷體" w:hint="eastAsia"/>
          <w:b/>
          <w:sz w:val="28"/>
          <w:szCs w:val="28"/>
        </w:rPr>
        <w:t>3</w:t>
      </w:r>
      <w:r w:rsidR="00643D43">
        <w:rPr>
          <w:rFonts w:ascii="標楷體" w:eastAsia="標楷體" w:hAnsi="標楷體" w:hint="eastAsia"/>
          <w:b/>
          <w:sz w:val="28"/>
          <w:szCs w:val="28"/>
        </w:rPr>
        <w:t>/</w:t>
      </w:r>
      <w:r w:rsidR="00A53D35">
        <w:rPr>
          <w:rFonts w:ascii="標楷體" w:eastAsia="標楷體" w:hAnsi="標楷體" w:hint="eastAsia"/>
          <w:b/>
          <w:sz w:val="28"/>
          <w:szCs w:val="28"/>
        </w:rPr>
        <w:t>10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1F6120" w:rsidRPr="00B81BEA" w:rsidRDefault="001F6120" w:rsidP="001F6120">
      <w:pPr>
        <w:autoSpaceDE w:val="0"/>
        <w:autoSpaceDN w:val="0"/>
        <w:adjustRightIn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</w:rPr>
        <w:t>上週在地緣政治因素暫緩，市場交投焦點重新回到基本面，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由於364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天NCD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持續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增量發行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，國內公布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低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迷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的CPI數據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，加上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央行總裁提醒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投資人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央行緊縮貨幣政策風險的談話，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影響台債市場</w:t>
      </w:r>
      <w:proofErr w:type="gramEnd"/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買盤追價審慎，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後續</w:t>
      </w:r>
      <w:r>
        <w:rPr>
          <w:rFonts w:ascii="標楷體" w:eastAsia="標楷體" w:hAnsi="標楷體" w:cs="Arial" w:hint="eastAsia"/>
          <w:color w:val="000000"/>
          <w:kern w:val="0"/>
        </w:rPr>
        <w:t>在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因美國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QE將於秋季全數退場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以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及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市場對於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FED將於2015年升息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之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預期，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令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利率盤升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成</w:t>
      </w:r>
      <w:r w:rsidRPr="00B81BEA">
        <w:rPr>
          <w:rFonts w:ascii="標楷體" w:eastAsia="標楷體" w:hAnsi="標楷體" w:cs="Arial" w:hint="eastAsia"/>
          <w:color w:val="000000"/>
          <w:kern w:val="0"/>
          <w:szCs w:val="24"/>
        </w:rPr>
        <w:t>為市場主流觀點，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然而上</w:t>
      </w:r>
      <w:r>
        <w:rPr>
          <w:rFonts w:ascii="標楷體" w:eastAsia="標楷體" w:hAnsi="標楷體" w:cs="Arial" w:hint="eastAsia"/>
          <w:color w:val="000000"/>
          <w:kern w:val="0"/>
        </w:rPr>
        <w:t>週五台債利空反應鈍化，逢高買盤進場，抑制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殖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利率上行空間，尾盤當沖買盤回補，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殖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利率逆轉收低，終場收盤五年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收在1.0962%</w:t>
      </w:r>
      <w:r w:rsidRPr="007423E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十年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收在1.5936%。</w:t>
      </w:r>
    </w:p>
    <w:p w:rsidR="00643D43" w:rsidRPr="001F6120" w:rsidRDefault="00643D43" w:rsidP="00204F86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9203A" w:rsidRDefault="009B6F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重要經濟事件</w:t>
      </w:r>
    </w:p>
    <w:p w:rsidR="00832042" w:rsidRDefault="001E6A2D" w:rsidP="001E6A2D">
      <w:pPr>
        <w:widowControl/>
        <w:spacing w:line="360" w:lineRule="exact"/>
        <w:rPr>
          <w:rFonts w:ascii="標楷體" w:eastAsia="標楷體" w:hAnsi="標楷體" w:cs="新細明體" w:hint="eastAsia"/>
          <w:kern w:val="0"/>
          <w:szCs w:val="24"/>
        </w:rPr>
      </w:pPr>
      <w:r w:rsidRPr="001E6A2D">
        <w:rPr>
          <w:rFonts w:ascii="標楷體" w:eastAsia="標楷體" w:hAnsi="標楷體" w:cs="新細明體"/>
          <w:kern w:val="0"/>
          <w:szCs w:val="24"/>
        </w:rPr>
        <w:t>周三美國聯</w:t>
      </w:r>
      <w:proofErr w:type="gramStart"/>
      <w:r w:rsidRPr="001E6A2D">
        <w:rPr>
          <w:rFonts w:ascii="標楷體" w:eastAsia="標楷體" w:hAnsi="標楷體" w:cs="新細明體"/>
          <w:kern w:val="0"/>
          <w:szCs w:val="24"/>
        </w:rPr>
        <w:t>準</w:t>
      </w:r>
      <w:proofErr w:type="gramEnd"/>
      <w:r w:rsidRPr="001E6A2D">
        <w:rPr>
          <w:rFonts w:ascii="標楷體" w:eastAsia="標楷體" w:hAnsi="標楷體" w:cs="新細明體"/>
          <w:kern w:val="0"/>
          <w:szCs w:val="24"/>
        </w:rPr>
        <w:t>會發布最新「褐皮書」（Beige Book）調查</w:t>
      </w:r>
      <w:r w:rsidR="00017C67">
        <w:rPr>
          <w:rFonts w:ascii="標楷體" w:eastAsia="標楷體" w:hAnsi="標楷體" w:cs="新細明體" w:hint="eastAsia"/>
          <w:kern w:val="0"/>
          <w:szCs w:val="24"/>
        </w:rPr>
        <w:t>顯示：</w:t>
      </w:r>
      <w:r w:rsidRPr="001E6A2D">
        <w:rPr>
          <w:rFonts w:ascii="標楷體" w:eastAsia="標楷體" w:hAnsi="標楷體" w:cs="新細明體"/>
          <w:kern w:val="0"/>
          <w:szCs w:val="24"/>
        </w:rPr>
        <w:t>儘管酷寒氣候衝擊到1月至2月初的美國經濟活動，大部分地區仍維持溫和成長，景氣展望「依舊樂觀」。不過主席葉倫坦承，Fed在控制通膨及促進完全就業上尚未達標。</w:t>
      </w:r>
    </w:p>
    <w:p w:rsidR="007841E5" w:rsidRPr="001E6A2D" w:rsidRDefault="007841E5" w:rsidP="001E6A2D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832042" w:rsidRDefault="001E6A2D" w:rsidP="001E6A2D">
      <w:pPr>
        <w:spacing w:line="360" w:lineRule="exact"/>
        <w:jc w:val="both"/>
        <w:rPr>
          <w:rFonts w:ascii="標楷體" w:eastAsia="標楷體" w:hAnsi="標楷體" w:hint="eastAsia"/>
          <w:szCs w:val="24"/>
        </w:rPr>
      </w:pPr>
      <w:r w:rsidRPr="001E6A2D">
        <w:rPr>
          <w:rFonts w:ascii="標楷體" w:eastAsia="標楷體" w:hAnsi="標楷體"/>
          <w:szCs w:val="24"/>
        </w:rPr>
        <w:t>周四</w:t>
      </w:r>
      <w:r w:rsidRPr="001E6A2D">
        <w:rPr>
          <w:rFonts w:ascii="標楷體" w:eastAsia="標楷體" w:hAnsi="標楷體" w:hint="eastAsia"/>
          <w:szCs w:val="24"/>
        </w:rPr>
        <w:t>ECB貨幣政策會議</w:t>
      </w:r>
      <w:r w:rsidR="00017C67">
        <w:rPr>
          <w:rFonts w:ascii="標楷體" w:eastAsia="標楷體" w:hAnsi="標楷體" w:hint="eastAsia"/>
          <w:szCs w:val="24"/>
        </w:rPr>
        <w:t>宣布：</w:t>
      </w:r>
      <w:r w:rsidRPr="001E6A2D">
        <w:rPr>
          <w:rFonts w:ascii="標楷體" w:eastAsia="標楷體" w:hAnsi="標楷體" w:hint="eastAsia"/>
          <w:szCs w:val="24"/>
        </w:rPr>
        <w:t>維持基本利率在0.25%，並小幅調升今年GDP成長率，</w:t>
      </w:r>
      <w:proofErr w:type="spellStart"/>
      <w:r w:rsidRPr="001E6A2D">
        <w:rPr>
          <w:rFonts w:ascii="標楷體" w:eastAsia="標楷體" w:hAnsi="標楷體" w:hint="eastAsia"/>
          <w:szCs w:val="24"/>
        </w:rPr>
        <w:t>Draghi</w:t>
      </w:r>
      <w:proofErr w:type="spellEnd"/>
      <w:r w:rsidRPr="001E6A2D">
        <w:rPr>
          <w:rFonts w:ascii="標楷體" w:eastAsia="標楷體" w:hAnsi="標楷體" w:hint="eastAsia"/>
          <w:szCs w:val="24"/>
        </w:rPr>
        <w:t>表示最新的數據顯示</w:t>
      </w:r>
      <w:r w:rsidR="00B81393">
        <w:rPr>
          <w:rFonts w:ascii="標楷體" w:eastAsia="標楷體" w:hAnsi="標楷體" w:hint="eastAsia"/>
          <w:szCs w:val="24"/>
        </w:rPr>
        <w:t>：</w:t>
      </w:r>
      <w:r w:rsidRPr="001E6A2D">
        <w:rPr>
          <w:rFonts w:ascii="標楷體" w:eastAsia="標楷體" w:hAnsi="標楷體" w:hint="eastAsia"/>
          <w:szCs w:val="24"/>
        </w:rPr>
        <w:t>歐元區仍持續溫和的復甦，整體物價的上下行風險有限，但在政策工具上</w:t>
      </w:r>
      <w:r w:rsidR="00B81393">
        <w:rPr>
          <w:rFonts w:ascii="標楷體" w:eastAsia="標楷體" w:hAnsi="標楷體" w:hint="eastAsia"/>
          <w:szCs w:val="24"/>
        </w:rPr>
        <w:t>，</w:t>
      </w:r>
      <w:r w:rsidRPr="001E6A2D">
        <w:rPr>
          <w:rFonts w:ascii="標楷體" w:eastAsia="標楷體" w:hAnsi="標楷體" w:hint="eastAsia"/>
          <w:szCs w:val="24"/>
        </w:rPr>
        <w:t>認為目前沒有理由沖銷SMP</w:t>
      </w:r>
      <w:proofErr w:type="gramStart"/>
      <w:r w:rsidRPr="001E6A2D">
        <w:rPr>
          <w:rFonts w:ascii="標楷體" w:eastAsia="標楷體" w:hAnsi="標楷體" w:hint="eastAsia"/>
          <w:szCs w:val="24"/>
        </w:rPr>
        <w:t>購債計畫</w:t>
      </w:r>
      <w:proofErr w:type="gramEnd"/>
      <w:r w:rsidRPr="001E6A2D">
        <w:rPr>
          <w:rFonts w:ascii="標楷體" w:eastAsia="標楷體" w:hAnsi="標楷體" w:hint="eastAsia"/>
          <w:szCs w:val="24"/>
        </w:rPr>
        <w:t>，不過也表示當有需要將採取果斷行動，包括啟動OMT。受惠於數據改善，以及</w:t>
      </w:r>
      <w:proofErr w:type="spellStart"/>
      <w:r w:rsidRPr="001E6A2D">
        <w:rPr>
          <w:rFonts w:ascii="標楷體" w:eastAsia="標楷體" w:hAnsi="標楷體" w:hint="eastAsia"/>
          <w:szCs w:val="24"/>
        </w:rPr>
        <w:t>Draghi</w:t>
      </w:r>
      <w:proofErr w:type="spellEnd"/>
      <w:r w:rsidRPr="001E6A2D">
        <w:rPr>
          <w:rFonts w:ascii="標楷體" w:eastAsia="標楷體" w:hAnsi="標楷體" w:hint="eastAsia"/>
          <w:szCs w:val="24"/>
        </w:rPr>
        <w:t>的言論不如市場預期的鴿派，不僅帶動德債</w:t>
      </w:r>
      <w:proofErr w:type="gramStart"/>
      <w:r w:rsidRPr="001E6A2D">
        <w:rPr>
          <w:rFonts w:ascii="標楷體" w:eastAsia="標楷體" w:hAnsi="標楷體" w:hint="eastAsia"/>
          <w:szCs w:val="24"/>
        </w:rPr>
        <w:t>殖</w:t>
      </w:r>
      <w:proofErr w:type="gramEnd"/>
      <w:r w:rsidRPr="001E6A2D">
        <w:rPr>
          <w:rFonts w:ascii="標楷體" w:eastAsia="標楷體" w:hAnsi="標楷體" w:hint="eastAsia"/>
          <w:szCs w:val="24"/>
        </w:rPr>
        <w:t>利率彈升，美債</w:t>
      </w:r>
      <w:proofErr w:type="gramStart"/>
      <w:r w:rsidRPr="001E6A2D">
        <w:rPr>
          <w:rFonts w:ascii="標楷體" w:eastAsia="標楷體" w:hAnsi="標楷體" w:hint="eastAsia"/>
          <w:szCs w:val="24"/>
        </w:rPr>
        <w:t>殖</w:t>
      </w:r>
      <w:proofErr w:type="gramEnd"/>
      <w:r w:rsidRPr="001E6A2D">
        <w:rPr>
          <w:rFonts w:ascii="標楷體" w:eastAsia="標楷體" w:hAnsi="標楷體" w:hint="eastAsia"/>
          <w:szCs w:val="24"/>
        </w:rPr>
        <w:t>利率也同步走揚。</w:t>
      </w:r>
    </w:p>
    <w:p w:rsidR="007841E5" w:rsidRPr="007841E5" w:rsidRDefault="007841E5" w:rsidP="001E6A2D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E474A" w:rsidRDefault="00A0039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17B2E05C" wp14:editId="3A94CB83">
            <wp:extent cx="5607050" cy="3870083"/>
            <wp:effectExtent l="0" t="0" r="0" b="0"/>
            <wp:docPr id="11" name="圖片 11" descr="C:\Users\bloomberg\AppData\Local\Temp\Bloomberg\Temp\bfm1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1E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美債10年期利率走勢圖</w:t>
      </w:r>
    </w:p>
    <w:p w:rsidR="002E474A" w:rsidRDefault="002E474A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DC59431" wp14:editId="0BC7FA8E">
            <wp:extent cx="5607050" cy="3870083"/>
            <wp:effectExtent l="0" t="0" r="0" b="0"/>
            <wp:docPr id="12" name="圖片 12" descr="C:\Users\bloomberg\AppData\Local\Temp\Bloomberg\Temp\bfm7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7EC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日債10年期利率走勢圖</w:t>
      </w:r>
    </w:p>
    <w:p w:rsidR="000B6AC2" w:rsidRDefault="000B6AC2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759BF99" wp14:editId="28FC4FF0">
            <wp:extent cx="5607050" cy="3870083"/>
            <wp:effectExtent l="0" t="0" r="0" b="0"/>
            <wp:docPr id="13" name="圖片 13" descr="C:\Users\bloomberg\AppData\Local\Temp\Bloomberg\Temp\bfm3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343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Pr="000B6AC2" w:rsidRDefault="000B6AC2" w:rsidP="00404D4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502D49A" wp14:editId="48D7C5B2">
            <wp:extent cx="5607050" cy="4014831"/>
            <wp:effectExtent l="0" t="0" r="0" b="5080"/>
            <wp:docPr id="14" name="圖片 14" descr="C:\Users\bloomberg\AppData\Local\Temp\Bloomberg\Temp\bfmD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D02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2616F5" w:rsidRDefault="00DD064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2DEBF312" wp14:editId="72EB9ADC">
            <wp:extent cx="5607050" cy="4014831"/>
            <wp:effectExtent l="0" t="0" r="0" b="5080"/>
            <wp:docPr id="15" name="圖片 15" descr="C:\Users\bloomberg\AppData\Local\Temp\Bloomberg\Temp\bfm80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80A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67" w:rsidRDefault="00955D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2616F5" w:rsidRDefault="003F54F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美國首次申請失業金人數</w:t>
      </w:r>
    </w:p>
    <w:p w:rsidR="002C4107" w:rsidRDefault="00F6389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1D81B356" wp14:editId="0DA1FABF">
            <wp:extent cx="5607050" cy="4014831"/>
            <wp:effectExtent l="0" t="0" r="0" b="5080"/>
            <wp:docPr id="16" name="圖片 16" descr="C:\Users\bloomberg\AppData\Local\Temp\Bloomberg\Temp\bfmD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D87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382E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ECB CPI(年比)</w:t>
      </w:r>
    </w:p>
    <w:p w:rsidR="006D3ED6" w:rsidRDefault="00F6389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253C8E07" wp14:editId="3B0DF6F3">
            <wp:extent cx="5607050" cy="4014831"/>
            <wp:effectExtent l="0" t="0" r="0" b="5080"/>
            <wp:docPr id="17" name="圖片 17" descr="C:\Users\bloomberg\AppData\Local\Temp\Bloomberg\Temp\bfmA6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A60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C4107"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r w:rsidR="00D12F90">
        <w:rPr>
          <w:rFonts w:ascii="標楷體" w:eastAsia="標楷體" w:hAnsi="標楷體" w:hint="eastAsia"/>
          <w:b/>
          <w:sz w:val="26"/>
          <w:szCs w:val="26"/>
        </w:rPr>
        <w:t>密西根</w:t>
      </w:r>
      <w:r w:rsidR="00D12F90" w:rsidRPr="00D12F9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大學信心指數</w:t>
      </w:r>
    </w:p>
    <w:p w:rsidR="00412D0B" w:rsidRDefault="00F6389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3674DB5C" wp14:editId="7BC8E275">
            <wp:extent cx="5607050" cy="4014831"/>
            <wp:effectExtent l="0" t="0" r="0" b="5080"/>
            <wp:docPr id="18" name="圖片 18" descr="C:\Users\bloomberg\AppData\Local\Temp\Bloomberg\Temp\bfm6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oomberg\AppData\Local\Temp\Bloomberg\Temp\bfm667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2D0B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C4107">
        <w:rPr>
          <w:rFonts w:ascii="標楷體" w:eastAsia="標楷體" w:hAnsi="標楷體" w:hint="eastAsia"/>
          <w:b/>
          <w:sz w:val="26"/>
          <w:szCs w:val="26"/>
        </w:rPr>
        <w:t>台灣外銷訂單(年比)</w:t>
      </w:r>
    </w:p>
    <w:p w:rsidR="00412D0B" w:rsidRDefault="00081B4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221F06D" wp14:editId="3742F494">
            <wp:extent cx="5607050" cy="4014831"/>
            <wp:effectExtent l="0" t="0" r="0" b="5080"/>
            <wp:docPr id="19" name="圖片 19" descr="C:\Users\bloomberg\AppData\Local\Temp\Bloomberg\Temp\bfmA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37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0B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tbl>
      <w:tblPr>
        <w:tblW w:w="879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500"/>
        <w:gridCol w:w="2793"/>
        <w:gridCol w:w="920"/>
        <w:gridCol w:w="1100"/>
        <w:gridCol w:w="1040"/>
        <w:gridCol w:w="1040"/>
      </w:tblGrid>
      <w:tr w:rsidR="002E4E92" w:rsidRPr="002E4E92" w:rsidTr="002E4E92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03/13/2014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零售銷售年至今(年比)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13.10%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03/13/2014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 年至今 (年比)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9.50%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9.70%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03/12/2014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</w:t>
            </w:r>
            <w:proofErr w:type="gramStart"/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生產經季調</w:t>
            </w:r>
            <w:proofErr w:type="gramEnd"/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-0.70%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03/12/2014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工業生產WDA(年比)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1.90%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-1.10%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 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 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03/21/2014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-12.7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 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4.00%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 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10.60%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03/11/2014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人力調查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2Q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03/20/2014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出口訂單(年比)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-2.80%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03/11/2014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躉售存貨(月比)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03/11/2014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躉售交易銷售(月比)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03/13/2014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8-Mar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330K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323K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03/13/2014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1-Mar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2908K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2907K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03/13/2014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03/13/2014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-1.90%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-1.50%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PPI最終需求(月比)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PPI(不含食品及能源)(月比)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PPI最終需求(年比)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1.20%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PPI(不含食品及能源)(年比)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1.30%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03/14/2014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 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81.6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紐約州製造業調查指數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4.48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03/17/2014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新屋開工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910K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880K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CPI指數(未經季調)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233.916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03/18/2014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新屋開工(月比)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Feb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3.40%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-16.00%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03/20/2014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FOMC利率決策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19-Mar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03/20/2014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14-Mar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2E4E92" w:rsidRPr="002E4E92" w:rsidTr="002E4E9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03/20/2014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7-Mar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2" w:rsidRPr="002E4E92" w:rsidRDefault="002E4E92" w:rsidP="002E4E92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E4E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</w:tbl>
    <w:p w:rsidR="002E4E92" w:rsidRDefault="002E4E9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E4E92" w:rsidRDefault="002E4E9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E747DE">
        <w:rPr>
          <w:rFonts w:ascii="標楷體" w:eastAsia="標楷體" w:hAnsi="標楷體" w:hint="eastAsia"/>
          <w:b/>
          <w:sz w:val="26"/>
          <w:szCs w:val="26"/>
        </w:rPr>
        <w:lastRenderedPageBreak/>
        <w:t>市場展望</w:t>
      </w:r>
    </w:p>
    <w:p w:rsidR="00C9203A" w:rsidRPr="00B53E68" w:rsidRDefault="004B7C90" w:rsidP="005952A3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871582">
        <w:rPr>
          <w:rFonts w:ascii="標楷體" w:eastAsia="標楷體" w:hAnsi="標楷體" w:hint="eastAsia"/>
          <w:szCs w:val="24"/>
        </w:rPr>
        <w:t>由於A03106籌碼呈現高度集中，</w:t>
      </w:r>
      <w:proofErr w:type="gramStart"/>
      <w:r w:rsidRPr="00871582">
        <w:rPr>
          <w:rFonts w:ascii="標楷體" w:eastAsia="標楷體" w:hAnsi="標楷體" w:cs="Arial" w:hint="eastAsia"/>
          <w:color w:val="000000"/>
          <w:kern w:val="0"/>
          <w:szCs w:val="24"/>
        </w:rPr>
        <w:t>殖</w:t>
      </w:r>
      <w:proofErr w:type="gramEnd"/>
      <w:r w:rsidRPr="00871582">
        <w:rPr>
          <w:rFonts w:ascii="標楷體" w:eastAsia="標楷體" w:hAnsi="標楷體" w:cs="Arial" w:hint="eastAsia"/>
          <w:color w:val="000000"/>
          <w:kern w:val="0"/>
          <w:szCs w:val="24"/>
        </w:rPr>
        <w:t>利率若要大彈或要大跌機會</w:t>
      </w:r>
      <w:r w:rsidR="0016265B" w:rsidRPr="00871582">
        <w:rPr>
          <w:rFonts w:ascii="標楷體" w:eastAsia="標楷體" w:hAnsi="標楷體" w:cs="Arial" w:hint="eastAsia"/>
          <w:color w:val="000000"/>
          <w:kern w:val="0"/>
          <w:szCs w:val="24"/>
        </w:rPr>
        <w:t>都</w:t>
      </w:r>
      <w:r w:rsidRPr="00871582">
        <w:rPr>
          <w:rFonts w:ascii="標楷體" w:eastAsia="標楷體" w:hAnsi="標楷體" w:cs="Arial" w:hint="eastAsia"/>
          <w:color w:val="000000"/>
          <w:kern w:val="0"/>
          <w:szCs w:val="24"/>
        </w:rPr>
        <w:t>不高</w:t>
      </w:r>
      <w:r w:rsidR="0016265B" w:rsidRPr="00871582">
        <w:rPr>
          <w:rFonts w:ascii="標楷體" w:eastAsia="標楷體" w:hAnsi="標楷體" w:cs="DFKaiShu-SB-Estd-BF" w:hint="eastAsia"/>
          <w:kern w:val="0"/>
          <w:szCs w:val="24"/>
        </w:rPr>
        <w:t>，短線上恐以區間整理</w:t>
      </w:r>
      <w:r w:rsidR="005952A3">
        <w:rPr>
          <w:rFonts w:ascii="標楷體" w:eastAsia="標楷體" w:hAnsi="標楷體" w:cs="DFKaiShu-SB-Estd-BF" w:hint="eastAsia"/>
          <w:kern w:val="0"/>
          <w:szCs w:val="24"/>
        </w:rPr>
        <w:t>為主</w:t>
      </w:r>
      <w:r w:rsidR="0016265B" w:rsidRPr="00871582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上</w:t>
      </w:r>
      <w:r w:rsidR="005952A3" w:rsidRPr="00871582">
        <w:rPr>
          <w:rFonts w:ascii="標楷體" w:eastAsia="標楷體" w:hAnsi="標楷體" w:cs="細明體-WinCharSetFFFF-H" w:hint="eastAsia"/>
          <w:kern w:val="0"/>
          <w:szCs w:val="24"/>
        </w:rPr>
        <w:t>週</w:t>
      </w:r>
      <w:r w:rsidR="005952A3" w:rsidRPr="005952A3">
        <w:rPr>
          <w:rFonts w:ascii="標楷體" w:eastAsia="標楷體" w:hAnsi="標楷體" w:cs="新細明體"/>
          <w:kern w:val="0"/>
          <w:szCs w:val="24"/>
        </w:rPr>
        <w:t>美國最新就業報告出爐，雖然2月失業率從5年多低點回升至6.7％，但非農就業人口新增17.5萬人</w:t>
      </w:r>
      <w:r w:rsidR="005952A3" w:rsidRPr="00871582">
        <w:rPr>
          <w:rFonts w:ascii="標楷體" w:eastAsia="標楷體" w:hAnsi="標楷體" w:cs="細明體-WinCharSetFFFF-H" w:hint="eastAsia"/>
          <w:kern w:val="0"/>
          <w:szCs w:val="24"/>
        </w:rPr>
        <w:t>，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優</w:t>
      </w:r>
      <w:r w:rsidR="005952A3" w:rsidRPr="00871582">
        <w:rPr>
          <w:rFonts w:ascii="標楷體" w:eastAsia="標楷體" w:hAnsi="標楷體" w:cs="細明體-WinCharSetFFFF-H" w:hint="eastAsia"/>
          <w:kern w:val="0"/>
          <w:szCs w:val="24"/>
        </w:rPr>
        <w:t>於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市場</w:t>
      </w:r>
      <w:r w:rsidR="005952A3" w:rsidRPr="00871582">
        <w:rPr>
          <w:rFonts w:ascii="標楷體" w:eastAsia="標楷體" w:hAnsi="標楷體" w:cs="細明體-WinCharSetFFFF-H" w:hint="eastAsia"/>
          <w:kern w:val="0"/>
          <w:szCs w:val="24"/>
        </w:rPr>
        <w:t>預估的</w:t>
      </w:r>
      <w:r w:rsidR="005952A3">
        <w:rPr>
          <w:rFonts w:ascii="標楷體" w:eastAsia="標楷體" w:hAnsi="標楷體" w:cs="細明體-WinCharSetFFFF-H"/>
          <w:kern w:val="0"/>
          <w:szCs w:val="24"/>
        </w:rPr>
        <w:t>14</w:t>
      </w:r>
      <w:r w:rsidR="005952A3" w:rsidRPr="00871582">
        <w:rPr>
          <w:rFonts w:ascii="標楷體" w:eastAsia="標楷體" w:hAnsi="標楷體" w:cs="細明體-WinCharSetFFFF-H" w:hint="eastAsia"/>
          <w:kern w:val="0"/>
          <w:szCs w:val="24"/>
        </w:rPr>
        <w:t>萬人</w:t>
      </w:r>
      <w:r w:rsidR="005952A3" w:rsidRPr="005952A3">
        <w:rPr>
          <w:rFonts w:ascii="標楷體" w:eastAsia="標楷體" w:hAnsi="標楷體" w:cs="新細明體"/>
          <w:kern w:val="0"/>
          <w:szCs w:val="24"/>
        </w:rPr>
        <w:t>，顯示惡劣</w:t>
      </w:r>
      <w:r w:rsidR="005952A3">
        <w:rPr>
          <w:rFonts w:ascii="標楷體" w:eastAsia="標楷體" w:hAnsi="標楷體" w:cs="新細明體"/>
          <w:kern w:val="0"/>
          <w:szCs w:val="24"/>
        </w:rPr>
        <w:t>天候並未影響美國就業市場復甦，而且經濟濟創造就業的腳步正在加速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，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支撐美股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道瓊收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盤上漲</w:t>
      </w:r>
      <w:r w:rsidR="00871582" w:rsidRPr="00871582">
        <w:rPr>
          <w:rFonts w:ascii="標楷體" w:eastAsia="標楷體" w:hAnsi="標楷體" w:cs="細明體-WinCharSetFFFF-H"/>
          <w:kern w:val="0"/>
          <w:szCs w:val="24"/>
        </w:rPr>
        <w:t xml:space="preserve">30.83 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點，</w:t>
      </w:r>
      <w:r w:rsidR="005952A3" w:rsidRPr="00871582">
        <w:rPr>
          <w:rFonts w:ascii="標楷體" w:eastAsia="標楷體" w:hAnsi="標楷體" w:cs="細明體-WinCharSetFFFF-H" w:hint="eastAsia"/>
          <w:kern w:val="0"/>
          <w:szCs w:val="24"/>
        </w:rPr>
        <w:t>美債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十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年</w:t>
      </w:r>
      <w:proofErr w:type="gramStart"/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券</w:t>
      </w:r>
      <w:proofErr w:type="gramEnd"/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反彈</w:t>
      </w:r>
      <w:r w:rsidR="00871582" w:rsidRPr="00871582">
        <w:rPr>
          <w:rFonts w:ascii="標楷體" w:eastAsia="標楷體" w:hAnsi="標楷體" w:cs="細明體-WinCharSetFFFF-H"/>
          <w:kern w:val="0"/>
          <w:szCs w:val="24"/>
        </w:rPr>
        <w:t xml:space="preserve">5.1bps 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收在</w:t>
      </w:r>
      <w:r w:rsidR="00871582" w:rsidRPr="00871582">
        <w:rPr>
          <w:rFonts w:ascii="標楷體" w:eastAsia="標楷體" w:hAnsi="標楷體" w:cs="細明體-WinCharSetFFFF-H"/>
          <w:kern w:val="0"/>
          <w:szCs w:val="24"/>
        </w:rPr>
        <w:t>2.789%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，</w:t>
      </w:r>
      <w:proofErr w:type="gramStart"/>
      <w:r w:rsidR="005952A3">
        <w:rPr>
          <w:rFonts w:ascii="標楷體" w:eastAsia="標楷體" w:hAnsi="標楷體" w:cs="細明體-WinCharSetFFFF-H" w:hint="eastAsia"/>
          <w:kern w:val="0"/>
          <w:szCs w:val="24"/>
        </w:rPr>
        <w:t>呈現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偏弱走勢</w:t>
      </w:r>
      <w:proofErr w:type="gramEnd"/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，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而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在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台灣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金管會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目前積極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引導壽險資金進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入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股市，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台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股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較</w:t>
      </w:r>
      <w:proofErr w:type="gramStart"/>
      <w:r w:rsidR="005952A3">
        <w:rPr>
          <w:rFonts w:ascii="標楷體" w:eastAsia="標楷體" w:hAnsi="標楷體" w:cs="細明體-WinCharSetFFFF-H" w:hint="eastAsia"/>
          <w:kern w:val="0"/>
          <w:szCs w:val="24"/>
        </w:rPr>
        <w:t>有偏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強</w:t>
      </w:r>
      <w:r w:rsidR="002E1230">
        <w:rPr>
          <w:rFonts w:ascii="標楷體" w:eastAsia="標楷體" w:hAnsi="標楷體" w:cs="細明體-WinCharSetFFFF-H" w:hint="eastAsia"/>
          <w:kern w:val="0"/>
          <w:szCs w:val="24"/>
        </w:rPr>
        <w:t>表現</w:t>
      </w:r>
      <w:proofErr w:type="gramEnd"/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的</w:t>
      </w:r>
      <w:r w:rsidR="005952A3">
        <w:rPr>
          <w:rFonts w:ascii="標楷體" w:eastAsia="標楷體" w:hAnsi="標楷體" w:cs="細明體-WinCharSetFFFF-H" w:hint="eastAsia"/>
          <w:kern w:val="0"/>
          <w:szCs w:val="24"/>
        </w:rPr>
        <w:t>機會</w:t>
      </w:r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下，台債</w:t>
      </w:r>
      <w:proofErr w:type="gramStart"/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殖</w:t>
      </w:r>
      <w:proofErr w:type="gramEnd"/>
      <w:r w:rsidR="00871582" w:rsidRPr="00871582">
        <w:rPr>
          <w:rFonts w:ascii="標楷體" w:eastAsia="標楷體" w:hAnsi="標楷體" w:cs="細明體-WinCharSetFFFF-H" w:hint="eastAsia"/>
          <w:kern w:val="0"/>
          <w:szCs w:val="24"/>
        </w:rPr>
        <w:t>利率較不易有大幅向下的空間，</w:t>
      </w:r>
      <w:r w:rsidR="00E83125" w:rsidRPr="00871582">
        <w:rPr>
          <w:rFonts w:ascii="標楷體" w:eastAsia="標楷體" w:hAnsi="標楷體" w:cs="DFKaiShu-SB-Estd-BF" w:hint="eastAsia"/>
          <w:kern w:val="0"/>
          <w:szCs w:val="24"/>
        </w:rPr>
        <w:t>預估</w:t>
      </w:r>
      <w:proofErr w:type="gramStart"/>
      <w:r w:rsidR="00E83125" w:rsidRPr="00871582">
        <w:rPr>
          <w:rFonts w:ascii="標楷體" w:eastAsia="標楷體" w:hAnsi="標楷體" w:cs="DFKaiShu-SB-Estd-BF" w:hint="eastAsia"/>
          <w:kern w:val="0"/>
          <w:szCs w:val="24"/>
        </w:rPr>
        <w:t>台債五年券殖</w:t>
      </w:r>
      <w:proofErr w:type="gramEnd"/>
      <w:r w:rsidR="00E83125" w:rsidRPr="00871582">
        <w:rPr>
          <w:rFonts w:ascii="標楷體" w:eastAsia="標楷體" w:hAnsi="標楷體" w:cs="DFKaiShu-SB-Estd-BF" w:hint="eastAsia"/>
          <w:kern w:val="0"/>
          <w:szCs w:val="24"/>
        </w:rPr>
        <w:t>利率將在1.05%~1.15%，十年</w:t>
      </w:r>
      <w:proofErr w:type="gramStart"/>
      <w:r w:rsidR="00E83125" w:rsidRPr="00871582">
        <w:rPr>
          <w:rFonts w:ascii="標楷體" w:eastAsia="標楷體" w:hAnsi="標楷體" w:cs="DFKaiShu-SB-Estd-BF" w:hint="eastAsia"/>
          <w:kern w:val="0"/>
          <w:szCs w:val="24"/>
        </w:rPr>
        <w:t>券</w:t>
      </w:r>
      <w:proofErr w:type="gramEnd"/>
      <w:r w:rsidR="00E83125" w:rsidRPr="00871582">
        <w:rPr>
          <w:rFonts w:ascii="標楷體" w:eastAsia="標楷體" w:hAnsi="標楷體" w:cs="DFKaiShu-SB-Estd-BF" w:hint="eastAsia"/>
          <w:kern w:val="0"/>
          <w:szCs w:val="24"/>
        </w:rPr>
        <w:t>在</w:t>
      </w:r>
      <w:r w:rsidR="001F6120">
        <w:rPr>
          <w:rFonts w:ascii="標楷體" w:eastAsia="標楷體" w:hAnsi="標楷體" w:cs="DFKaiShu-SB-Estd-BF" w:hint="eastAsia"/>
          <w:kern w:val="0"/>
          <w:szCs w:val="24"/>
        </w:rPr>
        <w:t>1.55%~1.6</w:t>
      </w:r>
      <w:r w:rsidR="00E83125" w:rsidRPr="00871582">
        <w:rPr>
          <w:rFonts w:ascii="標楷體" w:eastAsia="標楷體" w:hAnsi="標楷體" w:cs="DFKaiShu-SB-Estd-BF" w:hint="eastAsia"/>
          <w:kern w:val="0"/>
          <w:szCs w:val="24"/>
        </w:rPr>
        <w:t>5%區間震盪</w:t>
      </w:r>
      <w:r w:rsidR="0016265B" w:rsidRPr="00871582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A3054" w:rsidRPr="00C9203A" w:rsidRDefault="008A3054" w:rsidP="00C9203A">
      <w:pPr>
        <w:widowControl/>
        <w:ind w:firstLineChars="200" w:firstLine="520"/>
        <w:rPr>
          <w:rFonts w:ascii="標楷體" w:eastAsia="標楷體" w:hAnsi="標楷體"/>
          <w:sz w:val="26"/>
        </w:rPr>
      </w:pPr>
    </w:p>
    <w:sectPr w:rsidR="008A3054" w:rsidRPr="00C9203A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2" w:rsidRDefault="00E37152" w:rsidP="009A5421">
      <w:r>
        <w:separator/>
      </w:r>
    </w:p>
  </w:endnote>
  <w:endnote w:type="continuationSeparator" w:id="0">
    <w:p w:rsidR="00E37152" w:rsidRDefault="00E3715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2" w:rsidRDefault="00E37152" w:rsidP="009A5421">
      <w:r>
        <w:separator/>
      </w:r>
    </w:p>
  </w:footnote>
  <w:footnote w:type="continuationSeparator" w:id="0">
    <w:p w:rsidR="00E37152" w:rsidRDefault="00E3715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634F"/>
    <w:rsid w:val="00007333"/>
    <w:rsid w:val="00007718"/>
    <w:rsid w:val="00007B88"/>
    <w:rsid w:val="00017C67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A4304"/>
    <w:rsid w:val="007A44FD"/>
    <w:rsid w:val="007A7AD2"/>
    <w:rsid w:val="007B2BE4"/>
    <w:rsid w:val="007C0118"/>
    <w:rsid w:val="007C1625"/>
    <w:rsid w:val="007C20EB"/>
    <w:rsid w:val="007D548E"/>
    <w:rsid w:val="007E14A5"/>
    <w:rsid w:val="007E1539"/>
    <w:rsid w:val="007F15C0"/>
    <w:rsid w:val="007F1877"/>
    <w:rsid w:val="007F6479"/>
    <w:rsid w:val="00800A7C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55D6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40B7"/>
    <w:rsid w:val="00AD5734"/>
    <w:rsid w:val="00AE46BD"/>
    <w:rsid w:val="00AE5328"/>
    <w:rsid w:val="00AF06EB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3412A"/>
    <w:rsid w:val="00B4495B"/>
    <w:rsid w:val="00B465BF"/>
    <w:rsid w:val="00B5191D"/>
    <w:rsid w:val="00B5382D"/>
    <w:rsid w:val="00B53E68"/>
    <w:rsid w:val="00B73647"/>
    <w:rsid w:val="00B73A0E"/>
    <w:rsid w:val="00B755F2"/>
    <w:rsid w:val="00B81393"/>
    <w:rsid w:val="00B81A48"/>
    <w:rsid w:val="00B81BEA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4BF9"/>
    <w:rsid w:val="00C04F5A"/>
    <w:rsid w:val="00C068C5"/>
    <w:rsid w:val="00C1000B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9203A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03D35"/>
    <w:rsid w:val="00D12F90"/>
    <w:rsid w:val="00D21095"/>
    <w:rsid w:val="00D328C3"/>
    <w:rsid w:val="00D441E0"/>
    <w:rsid w:val="00D50DED"/>
    <w:rsid w:val="00D53EC1"/>
    <w:rsid w:val="00D62DCB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F84"/>
    <w:rsid w:val="00DC6398"/>
    <w:rsid w:val="00DD0645"/>
    <w:rsid w:val="00DD311B"/>
    <w:rsid w:val="00DE0833"/>
    <w:rsid w:val="00DE0E2D"/>
    <w:rsid w:val="00DE10FA"/>
    <w:rsid w:val="00DE1419"/>
    <w:rsid w:val="00DE4D36"/>
    <w:rsid w:val="00DF07B8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09E3-E88B-47FB-A503-C02ABC89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375</Words>
  <Characters>2141</Characters>
  <Application>Microsoft Office Word</Application>
  <DocSecurity>0</DocSecurity>
  <Lines>17</Lines>
  <Paragraphs>5</Paragraphs>
  <ScaleCrop>false</ScaleCrop>
  <Company>大中票券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債券部業務科長 - 陳維堅</cp:lastModifiedBy>
  <cp:revision>28</cp:revision>
  <cp:lastPrinted>2014-03-10T03:10:00Z</cp:lastPrinted>
  <dcterms:created xsi:type="dcterms:W3CDTF">2014-03-07T07:20:00Z</dcterms:created>
  <dcterms:modified xsi:type="dcterms:W3CDTF">2014-03-10T03:26:00Z</dcterms:modified>
</cp:coreProperties>
</file>