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DCFA07C" w14:textId="4AD10698" w:rsidR="00BA767E" w:rsidRPr="00BC4D3E" w:rsidRDefault="001B2E47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1兆7,858.80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上週有20年期公債交割，但市場資金供需維持平穩，各家銀行資金多缺不一的現象仍存</w:t>
      </w:r>
      <w:r w:rsidR="00FB0FCB">
        <w:rPr>
          <w:rFonts w:ascii="標楷體" w:eastAsia="標楷體" w:hAnsi="標楷體" w:hint="eastAsia"/>
          <w:sz w:val="27"/>
          <w:szCs w:val="27"/>
        </w:rPr>
        <w:t>在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，但情況有較前日緩和，另2年期定存單得標加權平均利率在0.407%，連續第九次上行，創自去年4月以來最高。週末前集保公布上一交易日30天期自保票平均利率0.302%，持平上日。30天期票券次級利率成交在0.21%~0.31%；拆款利率在0.25%~0.28%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0A5731">
        <w:rPr>
          <w:rFonts w:ascii="標楷體" w:eastAsia="標楷體" w:hAnsi="標楷體" w:hint="eastAsia"/>
          <w:sz w:val="27"/>
          <w:szCs w:val="27"/>
        </w:rPr>
        <w:t>匯率方面</w:t>
      </w:r>
      <w:r w:rsidRPr="00117201">
        <w:rPr>
          <w:rFonts w:ascii="標楷體" w:eastAsia="標楷體" w:hAnsi="標楷體" w:hint="eastAsia"/>
          <w:sz w:val="27"/>
          <w:szCs w:val="27"/>
        </w:rPr>
        <w:t>，</w:t>
      </w:r>
      <w:r w:rsidR="00F17A8B" w:rsidRPr="00BC4D3E">
        <w:rPr>
          <w:rFonts w:ascii="標楷體" w:eastAsia="標楷體" w:hAnsi="標楷體" w:hint="eastAsia"/>
          <w:sz w:val="27"/>
          <w:szCs w:val="27"/>
        </w:rPr>
        <w:t>上週</w:t>
      </w:r>
      <w:r w:rsidR="00BC4D3E" w:rsidRPr="00BC4D3E">
        <w:rPr>
          <w:rFonts w:ascii="標楷體" w:eastAsia="標楷體" w:hAnsi="標楷體" w:hint="eastAsia"/>
          <w:sz w:val="27"/>
          <w:szCs w:val="27"/>
        </w:rPr>
        <w:t>台股緩步墊高，為新台幣帶來支撐力道，</w:t>
      </w:r>
      <w:r w:rsidR="002C657C">
        <w:rPr>
          <w:rFonts w:ascii="標楷體" w:eastAsia="標楷體" w:hAnsi="標楷體" w:hint="eastAsia"/>
          <w:sz w:val="27"/>
          <w:szCs w:val="27"/>
        </w:rPr>
        <w:t>上</w:t>
      </w:r>
      <w:r w:rsidR="00BC4D3E" w:rsidRPr="00BC4D3E">
        <w:rPr>
          <w:rFonts w:ascii="標楷體" w:eastAsia="標楷體" w:hAnsi="標楷體" w:hint="eastAsia"/>
          <w:sz w:val="27"/>
          <w:szCs w:val="27"/>
        </w:rPr>
        <w:t>週五收盤收</w:t>
      </w:r>
      <w:r w:rsidR="002C657C">
        <w:rPr>
          <w:rFonts w:ascii="標楷體" w:eastAsia="標楷體" w:hAnsi="標楷體" w:hint="eastAsia"/>
          <w:sz w:val="27"/>
          <w:szCs w:val="27"/>
        </w:rPr>
        <w:t>在</w:t>
      </w:r>
      <w:r w:rsidR="00BC4D3E" w:rsidRPr="00BC4D3E">
        <w:rPr>
          <w:rFonts w:ascii="標楷體" w:eastAsia="標楷體" w:hAnsi="標楷體" w:hint="eastAsia"/>
          <w:sz w:val="27"/>
          <w:szCs w:val="27"/>
        </w:rPr>
        <w:t>27.836元，微升0.4分，終止連2貶，台北及元太外匯市場總成交金額11.85億美元。新台幣同步收週線，本週累計升值4.6分，週線翻升。</w:t>
      </w:r>
      <w:r w:rsidR="00117201" w:rsidRPr="00BC4D3E">
        <w:rPr>
          <w:rFonts w:ascii="標楷體" w:eastAsia="標楷體" w:hAnsi="標楷體" w:hint="eastAsia"/>
          <w:sz w:val="27"/>
          <w:szCs w:val="27"/>
        </w:rPr>
        <w:t>全週成交區間落在27.7</w:t>
      </w:r>
      <w:r w:rsidR="00BC4D3E" w:rsidRPr="00BC4D3E">
        <w:rPr>
          <w:rFonts w:ascii="標楷體" w:eastAsia="標楷體" w:hAnsi="標楷體"/>
          <w:sz w:val="27"/>
          <w:szCs w:val="27"/>
        </w:rPr>
        <w:t>5</w:t>
      </w:r>
      <w:r w:rsidR="001769A1" w:rsidRPr="00BC4D3E">
        <w:rPr>
          <w:rFonts w:ascii="標楷體" w:eastAsia="標楷體" w:hAnsi="標楷體" w:hint="eastAsia"/>
          <w:sz w:val="27"/>
          <w:szCs w:val="27"/>
        </w:rPr>
        <w:t>5</w:t>
      </w:r>
      <w:r w:rsidR="00117201" w:rsidRPr="00BC4D3E">
        <w:rPr>
          <w:rFonts w:ascii="標楷體" w:eastAsia="標楷體" w:hAnsi="標楷體" w:hint="eastAsia"/>
          <w:sz w:val="27"/>
          <w:szCs w:val="27"/>
        </w:rPr>
        <w:t>~27.9</w:t>
      </w:r>
      <w:r w:rsidR="001769A1" w:rsidRPr="00BC4D3E">
        <w:rPr>
          <w:rFonts w:ascii="標楷體" w:eastAsia="標楷體" w:hAnsi="標楷體" w:hint="eastAsia"/>
          <w:sz w:val="27"/>
          <w:szCs w:val="27"/>
        </w:rPr>
        <w:t>27</w:t>
      </w:r>
      <w:r w:rsidR="00117201" w:rsidRPr="00BC4D3E">
        <w:rPr>
          <w:rFonts w:ascii="標楷體" w:eastAsia="標楷體" w:hAnsi="標楷體" w:hint="eastAsia"/>
          <w:sz w:val="27"/>
          <w:szCs w:val="27"/>
        </w:rPr>
        <w:t>。</w:t>
      </w:r>
    </w:p>
    <w:p w14:paraId="0667CEDC" w14:textId="77777777" w:rsidR="00BA767E" w:rsidRPr="00335734" w:rsidRDefault="00BA767E" w:rsidP="00910ED8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D420F1C" w14:textId="3F969D2A" w:rsidR="00AD0E03" w:rsidRPr="00BC4D3E" w:rsidRDefault="001B2E47" w:rsidP="00AD0E0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9E019C" w:rsidRPr="00A66DA4">
        <w:rPr>
          <w:rFonts w:ascii="標楷體" w:eastAsia="標楷體" w:hAnsi="標楷體" w:hint="eastAsia"/>
          <w:sz w:val="27"/>
          <w:szCs w:val="27"/>
        </w:rPr>
        <w:t>1</w:t>
      </w:r>
      <w:r w:rsidR="005C5A82" w:rsidRPr="00A66DA4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DE03AB">
        <w:rPr>
          <w:rFonts w:ascii="標楷體" w:eastAsia="標楷體" w:hAnsi="標楷體" w:cs="Arial" w:hint="eastAsia"/>
          <w:sz w:val="27"/>
          <w:szCs w:val="27"/>
        </w:rPr>
        <w:t>2,</w:t>
      </w:r>
      <w:r w:rsidR="00DE03AB">
        <w:rPr>
          <w:rFonts w:ascii="標楷體" w:eastAsia="標楷體" w:hAnsi="標楷體" w:cs="Arial"/>
          <w:sz w:val="27"/>
          <w:szCs w:val="27"/>
        </w:rPr>
        <w:t>113.95</w:t>
      </w:r>
      <w:r w:rsidRPr="00A60A6E">
        <w:rPr>
          <w:rFonts w:ascii="標楷體" w:eastAsia="標楷體" w:hAnsi="標楷體" w:hint="eastAsia"/>
          <w:sz w:val="27"/>
          <w:szCs w:val="27"/>
        </w:rPr>
        <w:t>億</w:t>
      </w:r>
      <w:r w:rsidRPr="00C803D7">
        <w:rPr>
          <w:rFonts w:ascii="標楷體" w:eastAsia="標楷體" w:hAnsi="標楷體" w:hint="eastAsia"/>
          <w:sz w:val="27"/>
          <w:szCs w:val="27"/>
        </w:rPr>
        <w:t>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0948574"/>
      <w:bookmarkStart w:id="9" w:name="_Hlk82766603"/>
      <w:r w:rsidR="003563CC" w:rsidRPr="003563CC">
        <w:rPr>
          <w:rFonts w:ascii="標楷體" w:eastAsia="標楷體" w:hAnsi="標楷體" w:hint="eastAsia"/>
          <w:sz w:val="27"/>
          <w:szCs w:val="27"/>
        </w:rPr>
        <w:t>統計本週存單到期量不若上週，挹注市場寬鬆效應相對有限，</w:t>
      </w:r>
      <w:bookmarkEnd w:id="8"/>
      <w:bookmarkEnd w:id="9"/>
      <w:r w:rsidR="00815F73" w:rsidRPr="008E0A88">
        <w:rPr>
          <w:rFonts w:ascii="標楷體" w:eastAsia="標楷體" w:hAnsi="標楷體" w:hint="eastAsia"/>
          <w:sz w:val="27"/>
          <w:szCs w:val="27"/>
        </w:rPr>
        <w:t>觀察</w:t>
      </w:r>
      <w:bookmarkStart w:id="10" w:name="_Hlk85792628"/>
      <w:r w:rsidR="00FA3787" w:rsidRPr="008E0A88">
        <w:rPr>
          <w:rFonts w:ascii="標楷體" w:eastAsia="標楷體" w:hAnsi="標楷體" w:hint="eastAsia"/>
          <w:sz w:val="27"/>
          <w:szCs w:val="27"/>
        </w:rPr>
        <w:t>本週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受年底前資金需求帶動，少數大型銀行加入拆入行列，目前資金供給多仰賴公營行庫，連外銀資金水位也偏少，至於拆款短率則仍持平</w:t>
      </w:r>
      <w:r w:rsidR="00FB0FCB">
        <w:rPr>
          <w:rFonts w:ascii="標楷體" w:eastAsia="標楷體" w:hAnsi="標楷體" w:hint="eastAsia"/>
          <w:sz w:val="27"/>
          <w:szCs w:val="27"/>
        </w:rPr>
        <w:t>近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日水準；</w:t>
      </w:r>
      <w:r w:rsidR="00FB0FCB">
        <w:rPr>
          <w:rFonts w:ascii="標楷體" w:eastAsia="標楷體" w:hAnsi="標楷體" w:hint="eastAsia"/>
          <w:sz w:val="27"/>
          <w:szCs w:val="27"/>
        </w:rPr>
        <w:t>另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關注二年期定存單均標利率創逾一年半新高，對</w:t>
      </w:r>
      <w:r w:rsidR="00DE03AB">
        <w:rPr>
          <w:rFonts w:ascii="標楷體" w:eastAsia="標楷體" w:hAnsi="標楷體" w:hint="eastAsia"/>
          <w:sz w:val="27"/>
          <w:szCs w:val="27"/>
        </w:rPr>
        <w:t>本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周短率走勢的影響。交易部操作上，除將視市況彈性調整利率報價，並宜趁資金相對寬鬆之際，優先成交長天期跨年資金，藉以降低資金成本以及調度風險</w:t>
      </w:r>
      <w:r w:rsidR="007B1C17" w:rsidRPr="007B1C17">
        <w:rPr>
          <w:rFonts w:ascii="標楷體" w:eastAsia="標楷體" w:hAnsi="標楷體" w:hint="eastAsia"/>
          <w:sz w:val="27"/>
          <w:szCs w:val="27"/>
        </w:rPr>
        <w:t>。</w:t>
      </w:r>
      <w:bookmarkEnd w:id="10"/>
      <w:r w:rsidR="00744F33" w:rsidRPr="0061063D">
        <w:rPr>
          <w:rFonts w:ascii="標楷體" w:eastAsia="標楷體" w:hAnsi="標楷體" w:hint="eastAsia"/>
          <w:sz w:val="27"/>
          <w:szCs w:val="27"/>
        </w:rPr>
        <w:t>匯率方面，</w:t>
      </w:r>
      <w:r w:rsidR="00D1443F" w:rsidRPr="00BC4D3E">
        <w:rPr>
          <w:rFonts w:ascii="標楷體" w:eastAsia="標楷體" w:hAnsi="標楷體" w:hint="eastAsia"/>
          <w:sz w:val="27"/>
          <w:szCs w:val="27"/>
        </w:rPr>
        <w:t>觀察</w:t>
      </w:r>
      <w:r w:rsidR="00BC4D3E" w:rsidRPr="00BC4D3E">
        <w:rPr>
          <w:rFonts w:ascii="標楷體" w:eastAsia="標楷體" w:hAnsi="標楷體" w:hint="eastAsia"/>
          <w:sz w:val="27"/>
          <w:szCs w:val="27"/>
        </w:rPr>
        <w:t>儘管美國物價飆至30年高點，促美元指數急升，攻上95大關，不過台股展望正向，外資捧場持續匯入，使得新台幣終止連2日貶勢</w:t>
      </w:r>
      <w:r w:rsidR="00D1443F" w:rsidRPr="00BC4D3E">
        <w:rPr>
          <w:rFonts w:ascii="標楷體" w:eastAsia="標楷體" w:hAnsi="標楷體" w:hint="eastAsia"/>
          <w:sz w:val="27"/>
          <w:szCs w:val="27"/>
        </w:rPr>
        <w:t>，</w:t>
      </w:r>
      <w:r w:rsidR="00BC4D3E" w:rsidRPr="00BC4D3E">
        <w:rPr>
          <w:rFonts w:ascii="標楷體" w:eastAsia="標楷體" w:hAnsi="標楷體" w:hint="eastAsia"/>
          <w:sz w:val="27"/>
          <w:szCs w:val="27"/>
        </w:rPr>
        <w:t>台灣出口暢旺，出口商滿手美元也將持續支撐台幣走勢，化解美元轉強帶來的貶值壓力，不過美國通膨壓力升溫，外資操作料將偏向保守，後續仍須留意外資是否撤出新興市場，進而影響台灣股匯市表現，現階段新台幣偏強格局不變，本周估在27.7至27.9元間盤整</w:t>
      </w:r>
      <w:r w:rsidR="00AD0E03" w:rsidRPr="00BC4D3E">
        <w:rPr>
          <w:rFonts w:ascii="標楷體" w:eastAsia="標楷體" w:hAnsi="標楷體" w:hint="eastAsia"/>
          <w:sz w:val="27"/>
          <w:szCs w:val="27"/>
        </w:rPr>
        <w:t>。</w:t>
      </w:r>
    </w:p>
    <w:p w14:paraId="7951F30B" w14:textId="77777777" w:rsidR="009B6491" w:rsidRPr="003563CC" w:rsidRDefault="009B6491" w:rsidP="008F4FFB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C4EBA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618BC531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DE03AB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35231F7D" w:rsidR="004C4EBA" w:rsidRPr="006E0266" w:rsidRDefault="00DE03AB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1,299.7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11996DB1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E03AB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49D3BFD7" w:rsidR="004C4EBA" w:rsidRPr="006E0266" w:rsidRDefault="00DE03AB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953.5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35D58232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03AB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31935C57" w:rsidR="004C4EBA" w:rsidRPr="006E0266" w:rsidRDefault="00DE03AB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8,730.1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5B5753F0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03AB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12300EE9" w:rsidR="004C4EBA" w:rsidRPr="006E0266" w:rsidRDefault="00DE03AB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39.65</w:t>
            </w:r>
          </w:p>
        </w:tc>
      </w:tr>
      <w:tr w:rsidR="004C4EBA" w:rsidRPr="000B595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594203B8" w:rsidR="004C4EBA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03AB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5F8B2F74" w:rsidR="004C4EBA" w:rsidRPr="004C4EBA" w:rsidRDefault="00DE03AB" w:rsidP="004C4E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591.0</w:t>
            </w:r>
            <w:r w:rsidR="004C4EBA" w:rsidRPr="00566B6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5126F" w:rsidRPr="000B5951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7B7EC9B8" w:rsidR="0025126F" w:rsidRPr="004C4EBA" w:rsidRDefault="004C4EBA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5560C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DE03AB">
              <w:rPr>
                <w:rFonts w:ascii="標楷體" w:eastAsia="標楷體" w:hAnsi="標楷體" w:cs="Arial"/>
                <w:sz w:val="27"/>
                <w:szCs w:val="27"/>
              </w:rPr>
              <w:t>2,113.95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6412D927" w:rsidR="003D1DD9" w:rsidRPr="004826D4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3D1DD9" w:rsidRPr="004826D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817</Characters>
  <Application>Microsoft Office Word</Application>
  <DocSecurity>0</DocSecurity>
  <Lines>6</Lines>
  <Paragraphs>1</Paragraphs>
  <ScaleCrop>false</ScaleCrop>
  <Company>大中票券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2021-10-18T00:26:00Z</cp:lastPrinted>
  <dcterms:created xsi:type="dcterms:W3CDTF">2021-11-12T08:14:00Z</dcterms:created>
  <dcterms:modified xsi:type="dcterms:W3CDTF">2021-11-15T00:43:00Z</dcterms:modified>
</cp:coreProperties>
</file>